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7CFF9" w14:textId="760BA8AE" w:rsidR="00915579" w:rsidRPr="00915579" w:rsidRDefault="00915579">
      <w:pPr>
        <w:rPr>
          <w:rFonts w:cstheme="minorHAnsi"/>
          <w:b/>
          <w:bCs/>
          <w:sz w:val="28"/>
          <w:szCs w:val="28"/>
        </w:rPr>
      </w:pPr>
      <w:r w:rsidRPr="00915579">
        <w:rPr>
          <w:rFonts w:cstheme="minorHAnsi"/>
          <w:b/>
          <w:bCs/>
          <w:sz w:val="28"/>
          <w:szCs w:val="28"/>
        </w:rPr>
        <w:t>B</w:t>
      </w:r>
      <w:r>
        <w:rPr>
          <w:rFonts w:cstheme="minorHAnsi"/>
          <w:b/>
          <w:bCs/>
          <w:sz w:val="28"/>
          <w:szCs w:val="28"/>
        </w:rPr>
        <w:t>UDGET</w:t>
      </w:r>
      <w:r w:rsidRPr="00915579">
        <w:rPr>
          <w:rFonts w:cstheme="minorHAnsi"/>
          <w:b/>
          <w:bCs/>
          <w:sz w:val="28"/>
          <w:szCs w:val="28"/>
        </w:rPr>
        <w:t xml:space="preserve"> 2021</w:t>
      </w:r>
    </w:p>
    <w:p w14:paraId="2BAC4338" w14:textId="478E6E30" w:rsidR="00652D86" w:rsidRDefault="00DA76BC">
      <w:pPr>
        <w:rPr>
          <w:rFonts w:cstheme="minorHAnsi"/>
          <w:color w:val="333333"/>
          <w:sz w:val="24"/>
          <w:szCs w:val="24"/>
          <w:shd w:val="clear" w:color="auto" w:fill="FFFFFF"/>
        </w:rPr>
      </w:pPr>
      <w:r w:rsidRPr="00344233">
        <w:rPr>
          <w:rFonts w:cstheme="minorHAnsi"/>
          <w:sz w:val="24"/>
          <w:szCs w:val="24"/>
        </w:rPr>
        <w:t xml:space="preserve">At last we have some idea of what economic recovery will look like with the </w:t>
      </w:r>
      <w:r w:rsidR="004F3C8B">
        <w:rPr>
          <w:rFonts w:cstheme="minorHAnsi"/>
          <w:sz w:val="24"/>
          <w:szCs w:val="24"/>
        </w:rPr>
        <w:t xml:space="preserve">2021 </w:t>
      </w:r>
      <w:r w:rsidRPr="00344233">
        <w:rPr>
          <w:rFonts w:cstheme="minorHAnsi"/>
          <w:sz w:val="24"/>
          <w:szCs w:val="24"/>
        </w:rPr>
        <w:t>Budget (</w:t>
      </w:r>
      <w:r w:rsidR="00D477FD">
        <w:rPr>
          <w:rFonts w:cstheme="minorHAnsi"/>
          <w:sz w:val="24"/>
          <w:szCs w:val="24"/>
        </w:rPr>
        <w:t xml:space="preserve">delayed </w:t>
      </w:r>
      <w:r w:rsidRPr="00344233">
        <w:rPr>
          <w:rFonts w:cstheme="minorHAnsi"/>
          <w:sz w:val="24"/>
          <w:szCs w:val="24"/>
        </w:rPr>
        <w:t>for the second time in as many years, albeit the first can be blamed on Brexit rather than a health-related virus)</w:t>
      </w:r>
      <w:r w:rsidR="00344233" w:rsidRPr="00344233">
        <w:rPr>
          <w:rFonts w:cstheme="minorHAnsi"/>
          <w:sz w:val="24"/>
          <w:szCs w:val="24"/>
        </w:rPr>
        <w:t>. This Budget however</w:t>
      </w:r>
      <w:r w:rsidR="00D477FD">
        <w:rPr>
          <w:rFonts w:cstheme="minorHAnsi"/>
          <w:sz w:val="24"/>
          <w:szCs w:val="24"/>
        </w:rPr>
        <w:t>,</w:t>
      </w:r>
      <w:r w:rsidR="00344233" w:rsidRPr="00344233">
        <w:rPr>
          <w:rFonts w:cstheme="minorHAnsi"/>
          <w:sz w:val="24"/>
          <w:szCs w:val="24"/>
        </w:rPr>
        <w:t xml:space="preserve"> is not the end of uncertainty as there is to be a “Tax Day” on 23 March which promises </w:t>
      </w:r>
      <w:r w:rsidR="00344233" w:rsidRPr="00344233">
        <w:rPr>
          <w:rFonts w:cstheme="minorHAnsi"/>
          <w:color w:val="333333"/>
          <w:sz w:val="24"/>
          <w:szCs w:val="24"/>
          <w:shd w:val="clear" w:color="auto" w:fill="FFFFFF"/>
        </w:rPr>
        <w:t>a range of important but </w:t>
      </w:r>
      <w:r w:rsidR="00344233" w:rsidRPr="00344233">
        <w:rPr>
          <w:rStyle w:val="italic"/>
          <w:rFonts w:cstheme="minorHAnsi"/>
          <w:color w:val="333333"/>
          <w:sz w:val="24"/>
          <w:szCs w:val="24"/>
          <w:bdr w:val="none" w:sz="0" w:space="0" w:color="auto" w:frame="1"/>
          <w:shd w:val="clear" w:color="auto" w:fill="FFFFFF"/>
        </w:rPr>
        <w:t>less high-profile</w:t>
      </w:r>
      <w:r w:rsidR="00344233" w:rsidRPr="00344233">
        <w:rPr>
          <w:rFonts w:cstheme="minorHAnsi"/>
          <w:color w:val="333333"/>
          <w:sz w:val="24"/>
          <w:szCs w:val="24"/>
          <w:shd w:val="clear" w:color="auto" w:fill="FFFFFF"/>
        </w:rPr>
        <w:t> measures</w:t>
      </w:r>
      <w:r w:rsidR="00344233">
        <w:rPr>
          <w:rFonts w:cstheme="minorHAnsi"/>
          <w:color w:val="333333"/>
          <w:sz w:val="24"/>
          <w:szCs w:val="24"/>
          <w:shd w:val="clear" w:color="auto" w:fill="FFFFFF"/>
        </w:rPr>
        <w:t>; and as we are all painfully aware, the Devil is always in the detail.</w:t>
      </w:r>
    </w:p>
    <w:p w14:paraId="3E26089F" w14:textId="77777777" w:rsidR="004F3C8B" w:rsidRDefault="004F3C8B">
      <w:pPr>
        <w:rPr>
          <w:rFonts w:cstheme="minorHAnsi"/>
          <w:color w:val="333333"/>
          <w:sz w:val="24"/>
          <w:szCs w:val="24"/>
          <w:shd w:val="clear" w:color="auto" w:fill="FFFFFF"/>
        </w:rPr>
      </w:pPr>
    </w:p>
    <w:p w14:paraId="2F5093C7" w14:textId="181B8679" w:rsidR="00D477FD" w:rsidRDefault="004C7D59">
      <w:pPr>
        <w:rPr>
          <w:rFonts w:cstheme="minorHAnsi"/>
          <w:color w:val="333333"/>
          <w:sz w:val="24"/>
          <w:szCs w:val="24"/>
          <w:shd w:val="clear" w:color="auto" w:fill="FFFFFF"/>
        </w:rPr>
      </w:pPr>
      <w:r>
        <w:rPr>
          <w:rFonts w:cstheme="minorHAnsi"/>
          <w:noProof/>
          <w:color w:val="333333"/>
          <w:sz w:val="24"/>
          <w:szCs w:val="24"/>
          <w:shd w:val="clear" w:color="auto" w:fill="FFFFFF"/>
        </w:rPr>
        <w:drawing>
          <wp:inline distT="0" distB="0" distL="0" distR="0" wp14:anchorId="7302812F" wp14:editId="1F9F6116">
            <wp:extent cx="5676900" cy="6334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77606" cy="6334913"/>
                    </a:xfrm>
                    <a:prstGeom prst="rect">
                      <a:avLst/>
                    </a:prstGeom>
                  </pic:spPr>
                </pic:pic>
              </a:graphicData>
            </a:graphic>
          </wp:inline>
        </w:drawing>
      </w:r>
    </w:p>
    <w:p w14:paraId="54279246" w14:textId="49140CAA" w:rsidR="004F3C8B" w:rsidRDefault="004F3C8B">
      <w:pPr>
        <w:rPr>
          <w:rStyle w:val="bold"/>
          <w:rFonts w:eastAsia="Times New Roman" w:cstheme="minorHAnsi"/>
          <w:b/>
          <w:bCs/>
          <w:color w:val="444444"/>
          <w:sz w:val="24"/>
          <w:szCs w:val="24"/>
          <w:bdr w:val="none" w:sz="0" w:space="0" w:color="auto" w:frame="1"/>
          <w:lang w:eastAsia="en-GB"/>
        </w:rPr>
      </w:pPr>
      <w:r>
        <w:rPr>
          <w:rStyle w:val="bold"/>
          <w:rFonts w:cstheme="minorHAnsi"/>
          <w:b/>
          <w:bCs/>
          <w:color w:val="444444"/>
          <w:bdr w:val="none" w:sz="0" w:space="0" w:color="auto" w:frame="1"/>
        </w:rPr>
        <w:br w:type="page"/>
      </w:r>
    </w:p>
    <w:p w14:paraId="74DA957C" w14:textId="31ECF260" w:rsidR="00344233" w:rsidRPr="008F494C" w:rsidRDefault="00344233" w:rsidP="00344233">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lastRenderedPageBreak/>
        <w:t>PERSONAL TAX</w:t>
      </w:r>
    </w:p>
    <w:p w14:paraId="00A5AC37" w14:textId="66F82F92" w:rsidR="00344233" w:rsidRPr="008F494C" w:rsidRDefault="00344233" w:rsidP="00344233">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Rates and allowances for 2022</w:t>
      </w:r>
    </w:p>
    <w:p w14:paraId="6B07FCE9" w14:textId="77777777" w:rsidR="00344233" w:rsidRPr="008F494C" w:rsidRDefault="00344233" w:rsidP="00344233">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p>
    <w:p w14:paraId="7E50E3DC" w14:textId="7DAE361F" w:rsidR="004C7D59" w:rsidRPr="008F494C" w:rsidRDefault="00344233" w:rsidP="00344233">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xml:space="preserve">A large </w:t>
      </w:r>
      <w:r w:rsidR="004C7D59" w:rsidRPr="008F494C">
        <w:rPr>
          <w:rFonts w:asciiTheme="minorHAnsi" w:hAnsiTheme="minorHAnsi" w:cstheme="minorHAnsi"/>
          <w:color w:val="333333"/>
        </w:rPr>
        <w:t>number</w:t>
      </w:r>
      <w:r w:rsidRPr="008F494C">
        <w:rPr>
          <w:rFonts w:asciiTheme="minorHAnsi" w:hAnsiTheme="minorHAnsi" w:cstheme="minorHAnsi"/>
          <w:color w:val="333333"/>
        </w:rPr>
        <w:t xml:space="preserve"> of hospital doctors are not entitled to </w:t>
      </w:r>
      <w:r w:rsidR="004C7D59" w:rsidRPr="008F494C">
        <w:rPr>
          <w:rFonts w:asciiTheme="minorHAnsi" w:hAnsiTheme="minorHAnsi" w:cstheme="minorHAnsi"/>
          <w:color w:val="333333"/>
        </w:rPr>
        <w:t>a</w:t>
      </w:r>
      <w:r w:rsidRPr="008F494C">
        <w:rPr>
          <w:rFonts w:asciiTheme="minorHAnsi" w:hAnsiTheme="minorHAnsi" w:cstheme="minorHAnsi"/>
          <w:color w:val="333333"/>
        </w:rPr>
        <w:t xml:space="preserve"> personal allowance </w:t>
      </w:r>
      <w:r w:rsidR="004C7D59" w:rsidRPr="008F494C">
        <w:rPr>
          <w:rFonts w:asciiTheme="minorHAnsi" w:hAnsiTheme="minorHAnsi" w:cstheme="minorHAnsi"/>
          <w:color w:val="333333"/>
        </w:rPr>
        <w:t>which is the starting rate of 0% tax on income. This is lost</w:t>
      </w:r>
      <w:r w:rsidRPr="008F494C">
        <w:rPr>
          <w:rFonts w:asciiTheme="minorHAnsi" w:hAnsiTheme="minorHAnsi" w:cstheme="minorHAnsi"/>
          <w:color w:val="333333"/>
        </w:rPr>
        <w:t xml:space="preserve"> </w:t>
      </w:r>
      <w:r w:rsidR="004C7D59" w:rsidRPr="008F494C">
        <w:rPr>
          <w:rFonts w:asciiTheme="minorHAnsi" w:hAnsiTheme="minorHAnsi" w:cstheme="minorHAnsi"/>
          <w:color w:val="333333"/>
        </w:rPr>
        <w:t>at a rate of £1 for every £2 if tax</w:t>
      </w:r>
      <w:r w:rsidRPr="008F494C">
        <w:rPr>
          <w:rFonts w:asciiTheme="minorHAnsi" w:hAnsiTheme="minorHAnsi" w:cstheme="minorHAnsi"/>
          <w:color w:val="333333"/>
        </w:rPr>
        <w:t xml:space="preserve">able income </w:t>
      </w:r>
      <w:r w:rsidR="004C7D59" w:rsidRPr="008F494C">
        <w:rPr>
          <w:rFonts w:asciiTheme="minorHAnsi" w:hAnsiTheme="minorHAnsi" w:cstheme="minorHAnsi"/>
          <w:color w:val="333333"/>
        </w:rPr>
        <w:t>exceeds</w:t>
      </w:r>
      <w:r w:rsidRPr="008F494C">
        <w:rPr>
          <w:rFonts w:asciiTheme="minorHAnsi" w:hAnsiTheme="minorHAnsi" w:cstheme="minorHAnsi"/>
          <w:color w:val="333333"/>
        </w:rPr>
        <w:t xml:space="preserve"> £100,000 so the increase </w:t>
      </w:r>
      <w:r w:rsidR="004C7D59" w:rsidRPr="008F494C">
        <w:rPr>
          <w:rFonts w:asciiTheme="minorHAnsi" w:hAnsiTheme="minorHAnsi" w:cstheme="minorHAnsi"/>
          <w:color w:val="333333"/>
        </w:rPr>
        <w:t xml:space="preserve">of the allowance </w:t>
      </w:r>
      <w:r w:rsidRPr="008F494C">
        <w:rPr>
          <w:rFonts w:asciiTheme="minorHAnsi" w:hAnsiTheme="minorHAnsi" w:cstheme="minorHAnsi"/>
          <w:color w:val="333333"/>
        </w:rPr>
        <w:t xml:space="preserve">to £12,570 </w:t>
      </w:r>
      <w:r w:rsidR="004C7D59" w:rsidRPr="008F494C">
        <w:rPr>
          <w:rFonts w:asciiTheme="minorHAnsi" w:hAnsiTheme="minorHAnsi" w:cstheme="minorHAnsi"/>
          <w:color w:val="333333"/>
        </w:rPr>
        <w:t>(£12500 2021) may</w:t>
      </w:r>
      <w:r w:rsidRPr="008F494C">
        <w:rPr>
          <w:rFonts w:asciiTheme="minorHAnsi" w:hAnsiTheme="minorHAnsi" w:cstheme="minorHAnsi"/>
          <w:color w:val="333333"/>
        </w:rPr>
        <w:t xml:space="preserve"> not </w:t>
      </w:r>
      <w:r w:rsidR="004C7D59" w:rsidRPr="008F494C">
        <w:rPr>
          <w:rFonts w:asciiTheme="minorHAnsi" w:hAnsiTheme="minorHAnsi" w:cstheme="minorHAnsi"/>
          <w:color w:val="333333"/>
        </w:rPr>
        <w:t xml:space="preserve">feel </w:t>
      </w:r>
      <w:r w:rsidRPr="008F494C">
        <w:rPr>
          <w:rFonts w:asciiTheme="minorHAnsi" w:hAnsiTheme="minorHAnsi" w:cstheme="minorHAnsi"/>
          <w:color w:val="333333"/>
        </w:rPr>
        <w:t>relevant. It may be good news however for those who share income with lower earners, because the basic rate limit has also risen to £37,700 with effect from 6 April 2021</w:t>
      </w:r>
      <w:r w:rsidR="004C7D59" w:rsidRPr="008F494C">
        <w:rPr>
          <w:rFonts w:asciiTheme="minorHAnsi" w:hAnsiTheme="minorHAnsi" w:cstheme="minorHAnsi"/>
          <w:color w:val="333333"/>
        </w:rPr>
        <w:t>, meaning for those with income less than £50,270 taxes will be lower this new fiscal year</w:t>
      </w:r>
      <w:r w:rsidRPr="008F494C">
        <w:rPr>
          <w:rFonts w:asciiTheme="minorHAnsi" w:hAnsiTheme="minorHAnsi" w:cstheme="minorHAnsi"/>
          <w:color w:val="333333"/>
        </w:rPr>
        <w:t>, but there they will stay up to and including 2026. This is of course, an effective tax rise across the work force as in real terms, inflation will bite and so any salary increases will suffer increased tax.</w:t>
      </w:r>
      <w:r w:rsidR="004C7D59" w:rsidRPr="008F494C">
        <w:rPr>
          <w:rFonts w:asciiTheme="minorHAnsi" w:hAnsiTheme="minorHAnsi" w:cstheme="minorHAnsi"/>
          <w:color w:val="333333"/>
        </w:rPr>
        <w:t xml:space="preserve"> </w:t>
      </w:r>
      <w:r w:rsidRPr="008F494C">
        <w:rPr>
          <w:rFonts w:asciiTheme="minorHAnsi" w:hAnsiTheme="minorHAnsi" w:cstheme="minorHAnsi"/>
          <w:color w:val="333333"/>
        </w:rPr>
        <w:t xml:space="preserve">The additional rate </w:t>
      </w:r>
      <w:r w:rsidR="004C7D59" w:rsidRPr="008F494C">
        <w:rPr>
          <w:rFonts w:asciiTheme="minorHAnsi" w:hAnsiTheme="minorHAnsi" w:cstheme="minorHAnsi"/>
          <w:color w:val="333333"/>
        </w:rPr>
        <w:t xml:space="preserve">(45%) </w:t>
      </w:r>
      <w:r w:rsidRPr="008F494C">
        <w:rPr>
          <w:rFonts w:asciiTheme="minorHAnsi" w:hAnsiTheme="minorHAnsi" w:cstheme="minorHAnsi"/>
          <w:color w:val="333333"/>
        </w:rPr>
        <w:t xml:space="preserve">threshold remains at £150,000. </w:t>
      </w:r>
    </w:p>
    <w:p w14:paraId="1F5F43EA" w14:textId="77777777" w:rsidR="002A593F" w:rsidRPr="008F494C" w:rsidRDefault="002A593F" w:rsidP="00344233">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p>
    <w:p w14:paraId="37BCA299" w14:textId="77A749EA" w:rsidR="002A593F" w:rsidRPr="008F494C" w:rsidRDefault="00344233" w:rsidP="00344233">
      <w:pPr>
        <w:pStyle w:val="loose"/>
        <w:shd w:val="clear" w:color="auto" w:fill="FFFFFF"/>
        <w:spacing w:before="0" w:beforeAutospacing="0" w:after="0" w:afterAutospacing="0" w:line="322" w:lineRule="atLeast"/>
        <w:textAlignment w:val="baseline"/>
        <w:rPr>
          <w:rFonts w:asciiTheme="minorHAnsi" w:hAnsiTheme="minorHAnsi" w:cstheme="minorHAnsi"/>
        </w:rPr>
      </w:pPr>
      <w:r w:rsidRPr="008F494C">
        <w:rPr>
          <w:rFonts w:asciiTheme="minorHAnsi" w:hAnsiTheme="minorHAnsi" w:cstheme="minorHAnsi"/>
          <w:color w:val="333333"/>
        </w:rPr>
        <w:t>Th</w:t>
      </w:r>
      <w:r w:rsidR="004C7D59" w:rsidRPr="008F494C">
        <w:rPr>
          <w:rFonts w:asciiTheme="minorHAnsi" w:hAnsiTheme="minorHAnsi" w:cstheme="minorHAnsi"/>
          <w:color w:val="333333"/>
        </w:rPr>
        <w:t xml:space="preserve">ese changes </w:t>
      </w:r>
      <w:r w:rsidRPr="008F494C">
        <w:rPr>
          <w:rFonts w:asciiTheme="minorHAnsi" w:hAnsiTheme="minorHAnsi" w:cstheme="minorHAnsi"/>
          <w:color w:val="333333"/>
        </w:rPr>
        <w:t>appl</w:t>
      </w:r>
      <w:r w:rsidR="004C7D59" w:rsidRPr="008F494C">
        <w:rPr>
          <w:rFonts w:asciiTheme="minorHAnsi" w:hAnsiTheme="minorHAnsi" w:cstheme="minorHAnsi"/>
          <w:color w:val="333333"/>
        </w:rPr>
        <w:t>y</w:t>
      </w:r>
      <w:r w:rsidRPr="008F494C">
        <w:rPr>
          <w:rFonts w:asciiTheme="minorHAnsi" w:hAnsiTheme="minorHAnsi" w:cstheme="minorHAnsi"/>
          <w:color w:val="333333"/>
        </w:rPr>
        <w:t xml:space="preserve"> equally across the UK, </w:t>
      </w:r>
      <w:r w:rsidR="004C7D59" w:rsidRPr="008F494C">
        <w:rPr>
          <w:rFonts w:asciiTheme="minorHAnsi" w:hAnsiTheme="minorHAnsi" w:cstheme="minorHAnsi"/>
          <w:color w:val="333333"/>
        </w:rPr>
        <w:t>with the exception</w:t>
      </w:r>
      <w:r w:rsidRPr="008F494C">
        <w:rPr>
          <w:rFonts w:asciiTheme="minorHAnsi" w:hAnsiTheme="minorHAnsi" w:cstheme="minorHAnsi"/>
          <w:color w:val="333333"/>
        </w:rPr>
        <w:t xml:space="preserve"> that Scotland has its own income tax rate bands set by the Scottish Parliament (see </w:t>
      </w:r>
      <w:hyperlink r:id="rId6" w:history="1">
        <w:r w:rsidR="004C7D59" w:rsidRPr="008F494C">
          <w:rPr>
            <w:rStyle w:val="Hyperlink"/>
            <w:rFonts w:asciiTheme="minorHAnsi" w:hAnsiTheme="minorHAnsi" w:cstheme="minorHAnsi"/>
          </w:rPr>
          <w:t>here</w:t>
        </w:r>
      </w:hyperlink>
      <w:r w:rsidR="004C7D59" w:rsidRPr="008F494C">
        <w:rPr>
          <w:rFonts w:asciiTheme="minorHAnsi" w:hAnsiTheme="minorHAnsi" w:cstheme="minorHAnsi"/>
          <w:color w:val="FF0000"/>
          <w:u w:val="single"/>
        </w:rPr>
        <w:t xml:space="preserve"> </w:t>
      </w:r>
      <w:r w:rsidRPr="008F494C">
        <w:rPr>
          <w:rFonts w:asciiTheme="minorHAnsi" w:hAnsiTheme="minorHAnsi" w:cstheme="minorHAnsi"/>
          <w:color w:val="333333"/>
        </w:rPr>
        <w:t xml:space="preserve">for </w:t>
      </w:r>
      <w:r w:rsidR="002A593F" w:rsidRPr="008F494C">
        <w:rPr>
          <w:rFonts w:asciiTheme="minorHAnsi" w:hAnsiTheme="minorHAnsi" w:cstheme="minorHAnsi"/>
          <w:color w:val="333333"/>
        </w:rPr>
        <w:t>detailed</w:t>
      </w:r>
      <w:r w:rsidRPr="008F494C">
        <w:rPr>
          <w:rFonts w:asciiTheme="minorHAnsi" w:hAnsiTheme="minorHAnsi" w:cstheme="minorHAnsi"/>
          <w:color w:val="333333"/>
        </w:rPr>
        <w:t xml:space="preserve"> information).</w:t>
      </w:r>
      <w:r w:rsidR="002A593F" w:rsidRPr="008F494C">
        <w:rPr>
          <w:rFonts w:asciiTheme="minorHAnsi" w:hAnsiTheme="minorHAnsi" w:cstheme="minorHAnsi"/>
        </w:rPr>
        <w:t xml:space="preserve"> In 2021 five income tax rates apply which range between 19% and 46%. Scottish taxpayers are entitled to the same personal allowance as individuals in the rest of the UK. The two higher rates are 41% and 46% compared to 40% and 45% for other UK residents. For 2022, 41% applies to income exceeding £43,662 for those who are entitled to the full personal allowance with 46% applying to income over £150,000. The Welsh Government has the right to vary the rates of income tax payable by Welsh taxpayers. The UK government has reduced each of the three rates of income tax paid by Welsh taxpayers by 10 pence. For 20</w:t>
      </w:r>
      <w:r w:rsidR="00E57CEC" w:rsidRPr="008F494C">
        <w:rPr>
          <w:rFonts w:asciiTheme="minorHAnsi" w:hAnsiTheme="minorHAnsi" w:cstheme="minorHAnsi"/>
        </w:rPr>
        <w:t>22</w:t>
      </w:r>
      <w:r w:rsidR="002A593F" w:rsidRPr="008F494C">
        <w:rPr>
          <w:rFonts w:asciiTheme="minorHAnsi" w:hAnsiTheme="minorHAnsi" w:cstheme="minorHAnsi"/>
        </w:rPr>
        <w:t xml:space="preserve"> the Welsh Government has set the Welsh rate of income tax at 10 pence which has been added to the reduced rates. This means tax payable by Welsh taxpayers is the same as </w:t>
      </w:r>
      <w:r w:rsidR="00E57CEC" w:rsidRPr="008F494C">
        <w:rPr>
          <w:rFonts w:asciiTheme="minorHAnsi" w:hAnsiTheme="minorHAnsi" w:cstheme="minorHAnsi"/>
        </w:rPr>
        <w:t xml:space="preserve">for </w:t>
      </w:r>
      <w:r w:rsidR="002A593F" w:rsidRPr="008F494C">
        <w:rPr>
          <w:rFonts w:asciiTheme="minorHAnsi" w:hAnsiTheme="minorHAnsi" w:cstheme="minorHAnsi"/>
        </w:rPr>
        <w:t xml:space="preserve">English and Northern Irish taxpayers. </w:t>
      </w:r>
    </w:p>
    <w:p w14:paraId="67CB9BE7" w14:textId="0928DD8A" w:rsidR="00E57CEC" w:rsidRPr="008F494C" w:rsidRDefault="00E57CEC" w:rsidP="00344233">
      <w:pPr>
        <w:pStyle w:val="loose"/>
        <w:shd w:val="clear" w:color="auto" w:fill="FFFFFF"/>
        <w:spacing w:before="0" w:beforeAutospacing="0" w:after="0" w:afterAutospacing="0" w:line="322" w:lineRule="atLeast"/>
        <w:textAlignment w:val="baseline"/>
        <w:rPr>
          <w:rFonts w:asciiTheme="minorHAnsi" w:hAnsiTheme="minorHAnsi" w:cstheme="minorHAnsi"/>
        </w:rPr>
      </w:pPr>
    </w:p>
    <w:p w14:paraId="303899E6" w14:textId="77777777" w:rsidR="00E57CEC" w:rsidRPr="008F494C" w:rsidRDefault="00E57CEC" w:rsidP="00344233">
      <w:pPr>
        <w:pStyle w:val="loose"/>
        <w:shd w:val="clear" w:color="auto" w:fill="FFFFFF"/>
        <w:spacing w:before="0" w:beforeAutospacing="0" w:after="0" w:afterAutospacing="0" w:line="322" w:lineRule="atLeast"/>
        <w:textAlignment w:val="baseline"/>
        <w:rPr>
          <w:rFonts w:asciiTheme="minorHAnsi" w:hAnsiTheme="minorHAnsi" w:cstheme="minorHAnsi"/>
          <w:b/>
          <w:bCs/>
        </w:rPr>
      </w:pPr>
      <w:r w:rsidRPr="008F494C">
        <w:rPr>
          <w:rFonts w:asciiTheme="minorHAnsi" w:hAnsiTheme="minorHAnsi" w:cstheme="minorHAnsi"/>
          <w:b/>
          <w:bCs/>
        </w:rPr>
        <w:t>Investment income</w:t>
      </w:r>
    </w:p>
    <w:p w14:paraId="53EA739A" w14:textId="46E907F1" w:rsidR="00E57CEC" w:rsidRPr="008F494C" w:rsidRDefault="00E57CEC" w:rsidP="00344233">
      <w:pPr>
        <w:pStyle w:val="loose"/>
        <w:shd w:val="clear" w:color="auto" w:fill="FFFFFF"/>
        <w:spacing w:before="0" w:beforeAutospacing="0" w:after="0" w:afterAutospacing="0" w:line="322" w:lineRule="atLeast"/>
        <w:textAlignment w:val="baseline"/>
        <w:rPr>
          <w:rFonts w:asciiTheme="minorHAnsi" w:hAnsiTheme="minorHAnsi" w:cstheme="minorHAnsi"/>
          <w:b/>
          <w:bCs/>
        </w:rPr>
      </w:pPr>
      <w:r w:rsidRPr="008F494C">
        <w:rPr>
          <w:rFonts w:asciiTheme="minorHAnsi" w:hAnsiTheme="minorHAnsi" w:cstheme="minorHAnsi"/>
          <w:b/>
          <w:bCs/>
        </w:rPr>
        <w:t>Dividends</w:t>
      </w:r>
    </w:p>
    <w:p w14:paraId="2A76E03D" w14:textId="2E0FB52C" w:rsidR="00E57CEC" w:rsidRPr="008F494C" w:rsidRDefault="00E57CEC" w:rsidP="00344233">
      <w:pPr>
        <w:pStyle w:val="loose"/>
        <w:shd w:val="clear" w:color="auto" w:fill="FFFFFF"/>
        <w:spacing w:before="0" w:beforeAutospacing="0" w:after="0" w:afterAutospacing="0" w:line="322" w:lineRule="atLeast"/>
        <w:textAlignment w:val="baseline"/>
        <w:rPr>
          <w:rFonts w:asciiTheme="minorHAnsi" w:hAnsiTheme="minorHAnsi" w:cstheme="minorHAnsi"/>
        </w:rPr>
      </w:pPr>
      <w:r w:rsidRPr="008F494C">
        <w:rPr>
          <w:rFonts w:asciiTheme="minorHAnsi" w:hAnsiTheme="minorHAnsi" w:cstheme="minorHAnsi"/>
        </w:rPr>
        <w:t xml:space="preserve">Dividends are treated as the final </w:t>
      </w:r>
      <w:r w:rsidR="003513D0" w:rsidRPr="008F494C">
        <w:rPr>
          <w:rFonts w:asciiTheme="minorHAnsi" w:hAnsiTheme="minorHAnsi" w:cstheme="minorHAnsi"/>
        </w:rPr>
        <w:t xml:space="preserve">tier of income in the tax tree of calculation. Those </w:t>
      </w:r>
      <w:r w:rsidRPr="008F494C">
        <w:rPr>
          <w:rFonts w:asciiTheme="minorHAnsi" w:hAnsiTheme="minorHAnsi" w:cstheme="minorHAnsi"/>
        </w:rPr>
        <w:t xml:space="preserve">within the </w:t>
      </w:r>
      <w:r w:rsidR="003513D0" w:rsidRPr="008F494C">
        <w:rPr>
          <w:rFonts w:asciiTheme="minorHAnsi" w:hAnsiTheme="minorHAnsi" w:cstheme="minorHAnsi"/>
        </w:rPr>
        <w:t xml:space="preserve">0% dividend </w:t>
      </w:r>
      <w:r w:rsidRPr="008F494C">
        <w:rPr>
          <w:rFonts w:asciiTheme="minorHAnsi" w:hAnsiTheme="minorHAnsi" w:cstheme="minorHAnsi"/>
        </w:rPr>
        <w:t xml:space="preserve">allowance still count towards an individual’s basic or higher rate band and </w:t>
      </w:r>
      <w:r w:rsidR="003513D0" w:rsidRPr="008F494C">
        <w:rPr>
          <w:rFonts w:asciiTheme="minorHAnsi" w:hAnsiTheme="minorHAnsi" w:cstheme="minorHAnsi"/>
        </w:rPr>
        <w:t>for pension threshold income calculations.</w:t>
      </w:r>
    </w:p>
    <w:p w14:paraId="178604F9" w14:textId="77777777" w:rsidR="00E57CEC" w:rsidRPr="008F494C" w:rsidRDefault="00E57CEC" w:rsidP="00344233">
      <w:pPr>
        <w:pStyle w:val="loose"/>
        <w:shd w:val="clear" w:color="auto" w:fill="FFFFFF"/>
        <w:spacing w:before="0" w:beforeAutospacing="0" w:after="0" w:afterAutospacing="0" w:line="322" w:lineRule="atLeast"/>
        <w:textAlignment w:val="baseline"/>
        <w:rPr>
          <w:rFonts w:asciiTheme="minorHAnsi" w:hAnsiTheme="minorHAnsi" w:cstheme="minorHAnsi"/>
        </w:rPr>
      </w:pPr>
    </w:p>
    <w:p w14:paraId="00E38737" w14:textId="77777777" w:rsidR="003513D0" w:rsidRPr="008F494C" w:rsidRDefault="00E57CEC" w:rsidP="00344233">
      <w:pPr>
        <w:pStyle w:val="loose"/>
        <w:shd w:val="clear" w:color="auto" w:fill="FFFFFF"/>
        <w:spacing w:before="0" w:beforeAutospacing="0" w:after="0" w:afterAutospacing="0" w:line="322" w:lineRule="atLeast"/>
        <w:textAlignment w:val="baseline"/>
        <w:rPr>
          <w:rFonts w:asciiTheme="minorHAnsi" w:hAnsiTheme="minorHAnsi" w:cstheme="minorHAnsi"/>
        </w:rPr>
      </w:pPr>
      <w:r w:rsidRPr="008F494C">
        <w:rPr>
          <w:rFonts w:asciiTheme="minorHAnsi" w:hAnsiTheme="minorHAnsi" w:cstheme="minorHAnsi"/>
        </w:rPr>
        <w:t>Dividends received above the allowance are taxed at the following rates:</w:t>
      </w:r>
    </w:p>
    <w:p w14:paraId="1DCC8E86" w14:textId="592DDA51" w:rsidR="00E57CEC" w:rsidRPr="008F494C" w:rsidRDefault="003513D0" w:rsidP="003513D0">
      <w:pPr>
        <w:pStyle w:val="loose"/>
        <w:numPr>
          <w:ilvl w:val="0"/>
          <w:numId w:val="2"/>
        </w:numPr>
        <w:shd w:val="clear" w:color="auto" w:fill="FFFFFF"/>
        <w:spacing w:before="0" w:beforeAutospacing="0" w:after="0" w:afterAutospacing="0" w:line="322" w:lineRule="atLeast"/>
        <w:textAlignment w:val="baseline"/>
        <w:rPr>
          <w:rFonts w:asciiTheme="minorHAnsi" w:hAnsiTheme="minorHAnsi" w:cstheme="minorHAnsi"/>
        </w:rPr>
      </w:pPr>
      <w:r w:rsidRPr="008F494C">
        <w:rPr>
          <w:rFonts w:asciiTheme="minorHAnsi" w:hAnsiTheme="minorHAnsi" w:cstheme="minorHAnsi"/>
        </w:rPr>
        <w:t>First £2,000 @ 0% (the dividend allowance)</w:t>
      </w:r>
    </w:p>
    <w:p w14:paraId="33FF8975" w14:textId="321D622A" w:rsidR="00E57CEC" w:rsidRPr="008F494C" w:rsidRDefault="00E57CEC" w:rsidP="003513D0">
      <w:pPr>
        <w:pStyle w:val="loose"/>
        <w:numPr>
          <w:ilvl w:val="0"/>
          <w:numId w:val="2"/>
        </w:numPr>
        <w:shd w:val="clear" w:color="auto" w:fill="FFFFFF"/>
        <w:spacing w:before="0" w:beforeAutospacing="0" w:after="0" w:afterAutospacing="0" w:line="322" w:lineRule="atLeast"/>
        <w:textAlignment w:val="baseline"/>
        <w:rPr>
          <w:rFonts w:asciiTheme="minorHAnsi" w:hAnsiTheme="minorHAnsi" w:cstheme="minorHAnsi"/>
        </w:rPr>
      </w:pPr>
      <w:r w:rsidRPr="008F494C">
        <w:rPr>
          <w:rFonts w:asciiTheme="minorHAnsi" w:hAnsiTheme="minorHAnsi" w:cstheme="minorHAnsi"/>
        </w:rPr>
        <w:t xml:space="preserve">7.5% for basic rate taxpayers </w:t>
      </w:r>
    </w:p>
    <w:p w14:paraId="296EB88A" w14:textId="6DC45839" w:rsidR="00E57CEC" w:rsidRPr="008F494C" w:rsidRDefault="00E57CEC" w:rsidP="003513D0">
      <w:pPr>
        <w:pStyle w:val="loose"/>
        <w:numPr>
          <w:ilvl w:val="0"/>
          <w:numId w:val="2"/>
        </w:numPr>
        <w:shd w:val="clear" w:color="auto" w:fill="FFFFFF"/>
        <w:spacing w:before="0" w:beforeAutospacing="0" w:after="0" w:afterAutospacing="0" w:line="322" w:lineRule="atLeast"/>
        <w:textAlignment w:val="baseline"/>
        <w:rPr>
          <w:rFonts w:asciiTheme="minorHAnsi" w:hAnsiTheme="minorHAnsi" w:cstheme="minorHAnsi"/>
        </w:rPr>
      </w:pPr>
      <w:r w:rsidRPr="008F494C">
        <w:rPr>
          <w:rFonts w:asciiTheme="minorHAnsi" w:hAnsiTheme="minorHAnsi" w:cstheme="minorHAnsi"/>
        </w:rPr>
        <w:t xml:space="preserve">32.5% for higher rate taxpayers </w:t>
      </w:r>
    </w:p>
    <w:p w14:paraId="7D78AD67" w14:textId="6C7E25FB" w:rsidR="00E57CEC" w:rsidRPr="008F494C" w:rsidRDefault="00E57CEC" w:rsidP="003513D0">
      <w:pPr>
        <w:pStyle w:val="loose"/>
        <w:numPr>
          <w:ilvl w:val="0"/>
          <w:numId w:val="2"/>
        </w:numPr>
        <w:shd w:val="clear" w:color="auto" w:fill="FFFFFF"/>
        <w:spacing w:before="0" w:beforeAutospacing="0" w:after="0" w:afterAutospacing="0" w:line="322" w:lineRule="atLeast"/>
        <w:textAlignment w:val="baseline"/>
        <w:rPr>
          <w:rFonts w:asciiTheme="minorHAnsi" w:hAnsiTheme="minorHAnsi" w:cstheme="minorHAnsi"/>
        </w:rPr>
      </w:pPr>
      <w:r w:rsidRPr="008F494C">
        <w:rPr>
          <w:rFonts w:asciiTheme="minorHAnsi" w:hAnsiTheme="minorHAnsi" w:cstheme="minorHAnsi"/>
        </w:rPr>
        <w:t xml:space="preserve">38.1% for additional rate taxpayers. </w:t>
      </w:r>
    </w:p>
    <w:p w14:paraId="120AFFAD" w14:textId="53EAF53B" w:rsidR="00E57CEC" w:rsidRPr="008F494C" w:rsidRDefault="00E57CEC" w:rsidP="00344233">
      <w:pPr>
        <w:pStyle w:val="loose"/>
        <w:shd w:val="clear" w:color="auto" w:fill="FFFFFF"/>
        <w:spacing w:before="0" w:beforeAutospacing="0" w:after="0" w:afterAutospacing="0" w:line="322" w:lineRule="atLeast"/>
        <w:textAlignment w:val="baseline"/>
        <w:rPr>
          <w:rFonts w:asciiTheme="minorHAnsi" w:hAnsiTheme="minorHAnsi" w:cstheme="minorHAnsi"/>
        </w:rPr>
      </w:pPr>
    </w:p>
    <w:p w14:paraId="77CEB471" w14:textId="191540D4" w:rsidR="003513D0" w:rsidRPr="008F494C" w:rsidRDefault="003513D0" w:rsidP="00344233">
      <w:pPr>
        <w:pStyle w:val="loose"/>
        <w:shd w:val="clear" w:color="auto" w:fill="FFFFFF"/>
        <w:spacing w:before="0" w:beforeAutospacing="0" w:after="0" w:afterAutospacing="0" w:line="322" w:lineRule="atLeast"/>
        <w:textAlignment w:val="baseline"/>
        <w:rPr>
          <w:rFonts w:asciiTheme="minorHAnsi" w:hAnsiTheme="minorHAnsi" w:cstheme="minorHAnsi"/>
          <w:b/>
          <w:bCs/>
        </w:rPr>
      </w:pPr>
      <w:r w:rsidRPr="008F494C">
        <w:rPr>
          <w:rFonts w:asciiTheme="minorHAnsi" w:hAnsiTheme="minorHAnsi" w:cstheme="minorHAnsi"/>
          <w:b/>
          <w:bCs/>
        </w:rPr>
        <w:t>Savings</w:t>
      </w:r>
    </w:p>
    <w:p w14:paraId="3CEF0286" w14:textId="7EEB131D" w:rsidR="00E57CEC" w:rsidRPr="008F494C" w:rsidRDefault="00E57CEC" w:rsidP="00344233">
      <w:pPr>
        <w:pStyle w:val="loose"/>
        <w:shd w:val="clear" w:color="auto" w:fill="FFFFFF"/>
        <w:spacing w:before="0" w:beforeAutospacing="0" w:after="0" w:afterAutospacing="0" w:line="322" w:lineRule="atLeast"/>
        <w:textAlignment w:val="baseline"/>
        <w:rPr>
          <w:rFonts w:asciiTheme="minorHAnsi" w:hAnsiTheme="minorHAnsi" w:cstheme="minorHAnsi"/>
        </w:rPr>
      </w:pPr>
      <w:r w:rsidRPr="008F494C">
        <w:rPr>
          <w:rFonts w:asciiTheme="minorHAnsi" w:hAnsiTheme="minorHAnsi" w:cstheme="minorHAnsi"/>
        </w:rPr>
        <w:t xml:space="preserve">The </w:t>
      </w:r>
      <w:r w:rsidR="003513D0" w:rsidRPr="008F494C">
        <w:rPr>
          <w:rFonts w:asciiTheme="minorHAnsi" w:hAnsiTheme="minorHAnsi" w:cstheme="minorHAnsi"/>
        </w:rPr>
        <w:t>s</w:t>
      </w:r>
      <w:r w:rsidRPr="008F494C">
        <w:rPr>
          <w:rFonts w:asciiTheme="minorHAnsi" w:hAnsiTheme="minorHAnsi" w:cstheme="minorHAnsi"/>
        </w:rPr>
        <w:t xml:space="preserve">avings </w:t>
      </w:r>
      <w:r w:rsidR="003513D0" w:rsidRPr="008F494C">
        <w:rPr>
          <w:rFonts w:asciiTheme="minorHAnsi" w:hAnsiTheme="minorHAnsi" w:cstheme="minorHAnsi"/>
        </w:rPr>
        <w:t>a</w:t>
      </w:r>
      <w:r w:rsidRPr="008F494C">
        <w:rPr>
          <w:rFonts w:asciiTheme="minorHAnsi" w:hAnsiTheme="minorHAnsi" w:cstheme="minorHAnsi"/>
        </w:rPr>
        <w:t xml:space="preserve">llowance applies to savings income </w:t>
      </w:r>
      <w:r w:rsidR="003513D0" w:rsidRPr="008F494C">
        <w:rPr>
          <w:rFonts w:asciiTheme="minorHAnsi" w:hAnsiTheme="minorHAnsi" w:cstheme="minorHAnsi"/>
        </w:rPr>
        <w:t>from banks and other interest-bearing assets. T</w:t>
      </w:r>
      <w:r w:rsidRPr="008F494C">
        <w:rPr>
          <w:rFonts w:asciiTheme="minorHAnsi" w:hAnsiTheme="minorHAnsi" w:cstheme="minorHAnsi"/>
        </w:rPr>
        <w:t xml:space="preserve">he allowance </w:t>
      </w:r>
      <w:r w:rsidR="003513D0" w:rsidRPr="008F494C">
        <w:rPr>
          <w:rFonts w:asciiTheme="minorHAnsi" w:hAnsiTheme="minorHAnsi" w:cstheme="minorHAnsi"/>
        </w:rPr>
        <w:t xml:space="preserve">available </w:t>
      </w:r>
      <w:r w:rsidRPr="008F494C">
        <w:rPr>
          <w:rFonts w:asciiTheme="minorHAnsi" w:hAnsiTheme="minorHAnsi" w:cstheme="minorHAnsi"/>
        </w:rPr>
        <w:t>depends on the individual’s marginal rate of income tax</w:t>
      </w:r>
      <w:r w:rsidR="003513D0" w:rsidRPr="008F494C">
        <w:rPr>
          <w:rFonts w:asciiTheme="minorHAnsi" w:hAnsiTheme="minorHAnsi" w:cstheme="minorHAnsi"/>
        </w:rPr>
        <w:t xml:space="preserve"> for the fiscal year: i</w:t>
      </w:r>
      <w:r w:rsidRPr="008F494C">
        <w:rPr>
          <w:rFonts w:asciiTheme="minorHAnsi" w:hAnsiTheme="minorHAnsi" w:cstheme="minorHAnsi"/>
        </w:rPr>
        <w:t xml:space="preserve">ndividuals taxed </w:t>
      </w:r>
      <w:r w:rsidR="003513D0" w:rsidRPr="008F494C">
        <w:rPr>
          <w:rFonts w:asciiTheme="minorHAnsi" w:hAnsiTheme="minorHAnsi" w:cstheme="minorHAnsi"/>
        </w:rPr>
        <w:t>within</w:t>
      </w:r>
      <w:r w:rsidRPr="008F494C">
        <w:rPr>
          <w:rFonts w:asciiTheme="minorHAnsi" w:hAnsiTheme="minorHAnsi" w:cstheme="minorHAnsi"/>
        </w:rPr>
        <w:t xml:space="preserve"> the basic rate </w:t>
      </w:r>
      <w:r w:rsidR="003513D0" w:rsidRPr="008F494C">
        <w:rPr>
          <w:rFonts w:asciiTheme="minorHAnsi" w:hAnsiTheme="minorHAnsi" w:cstheme="minorHAnsi"/>
        </w:rPr>
        <w:t>band</w:t>
      </w:r>
      <w:r w:rsidRPr="008F494C">
        <w:rPr>
          <w:rFonts w:asciiTheme="minorHAnsi" w:hAnsiTheme="minorHAnsi" w:cstheme="minorHAnsi"/>
        </w:rPr>
        <w:t xml:space="preserve"> have an allowance of £1,000</w:t>
      </w:r>
      <w:r w:rsidR="003513D0" w:rsidRPr="008F494C">
        <w:rPr>
          <w:rFonts w:asciiTheme="minorHAnsi" w:hAnsiTheme="minorHAnsi" w:cstheme="minorHAnsi"/>
        </w:rPr>
        <w:t xml:space="preserve"> reduced to £500 f</w:t>
      </w:r>
      <w:r w:rsidRPr="008F494C">
        <w:rPr>
          <w:rFonts w:asciiTheme="minorHAnsi" w:hAnsiTheme="minorHAnsi" w:cstheme="minorHAnsi"/>
        </w:rPr>
        <w:t xml:space="preserve">or higher rate taxpayers </w:t>
      </w:r>
      <w:r w:rsidR="003513D0" w:rsidRPr="008F494C">
        <w:rPr>
          <w:rFonts w:asciiTheme="minorHAnsi" w:hAnsiTheme="minorHAnsi" w:cstheme="minorHAnsi"/>
        </w:rPr>
        <w:t>and £Nil for</w:t>
      </w:r>
      <w:r w:rsidRPr="008F494C">
        <w:rPr>
          <w:rFonts w:asciiTheme="minorHAnsi" w:hAnsiTheme="minorHAnsi" w:cstheme="minorHAnsi"/>
        </w:rPr>
        <w:t xml:space="preserve"> additional rate taxpayers.</w:t>
      </w:r>
    </w:p>
    <w:p w14:paraId="0652C373" w14:textId="3020D1DE" w:rsidR="00E57CEC" w:rsidRPr="008F494C" w:rsidRDefault="00E57CEC" w:rsidP="00344233">
      <w:pPr>
        <w:pStyle w:val="loose"/>
        <w:shd w:val="clear" w:color="auto" w:fill="FFFFFF"/>
        <w:spacing w:before="0" w:beforeAutospacing="0" w:after="0" w:afterAutospacing="0" w:line="322" w:lineRule="atLeast"/>
        <w:textAlignment w:val="baseline"/>
        <w:rPr>
          <w:rFonts w:asciiTheme="minorHAnsi" w:hAnsiTheme="minorHAnsi" w:cstheme="minorHAnsi"/>
        </w:rPr>
      </w:pPr>
    </w:p>
    <w:p w14:paraId="1EDCB6F6" w14:textId="2533B63D" w:rsidR="00E57CEC" w:rsidRPr="008F494C" w:rsidRDefault="00E57CEC" w:rsidP="00E57CEC">
      <w:pPr>
        <w:pStyle w:val="loose"/>
        <w:shd w:val="clear" w:color="auto" w:fill="FFFFFF"/>
        <w:spacing w:before="0" w:beforeAutospacing="0" w:after="240" w:afterAutospacing="0" w:line="322" w:lineRule="atLeast"/>
        <w:textAlignment w:val="baseline"/>
        <w:rPr>
          <w:rFonts w:asciiTheme="minorHAnsi" w:hAnsiTheme="minorHAnsi" w:cstheme="minorHAnsi"/>
          <w:b/>
          <w:bCs/>
        </w:rPr>
      </w:pPr>
      <w:r w:rsidRPr="008F494C">
        <w:rPr>
          <w:rFonts w:asciiTheme="minorHAnsi" w:hAnsiTheme="minorHAnsi" w:cstheme="minorHAnsi"/>
          <w:b/>
          <w:bCs/>
        </w:rPr>
        <w:t xml:space="preserve">Go Green with National Savings and Investment (NS&amp;I) </w:t>
      </w:r>
    </w:p>
    <w:p w14:paraId="1463BDAF" w14:textId="0D54E881" w:rsidR="00E57CEC" w:rsidRDefault="00E57CEC" w:rsidP="00E57CEC">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8F494C">
        <w:rPr>
          <w:rFonts w:asciiTheme="minorHAnsi" w:hAnsiTheme="minorHAnsi" w:cstheme="minorHAnsi"/>
        </w:rPr>
        <w:t>The government will offer a green retail savings product through NS&amp;I this summer which will be aligned to the UK’s sovereign green bond framework affording all UK savers the opportunity to take part in the collective effort to tackle climate change. The green gilt framework, (to be published in June 2021), will detail types of expenditure to be financed in order to meet the government’s green objectives.</w:t>
      </w:r>
    </w:p>
    <w:p w14:paraId="15431C45" w14:textId="77777777" w:rsidR="00096D46" w:rsidRDefault="00096D46" w:rsidP="00096D46">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096D46">
        <w:rPr>
          <w:rFonts w:asciiTheme="minorHAnsi" w:hAnsiTheme="minorHAnsi" w:cstheme="minorHAnsi"/>
          <w:b/>
          <w:bCs/>
        </w:rPr>
        <w:t>Venture Capital</w:t>
      </w:r>
      <w:r w:rsidRPr="008F494C">
        <w:rPr>
          <w:rFonts w:asciiTheme="minorHAnsi" w:hAnsiTheme="minorHAnsi" w:cstheme="minorHAnsi"/>
        </w:rPr>
        <w:t xml:space="preserve"> </w:t>
      </w:r>
    </w:p>
    <w:p w14:paraId="7621084D" w14:textId="10AFCC6A" w:rsidR="00096D46" w:rsidRPr="008F494C" w:rsidRDefault="00096D46" w:rsidP="00096D46">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rPr>
        <w:t>It is t</w:t>
      </w:r>
      <w:r w:rsidRPr="008F494C">
        <w:rPr>
          <w:rFonts w:asciiTheme="minorHAnsi" w:hAnsiTheme="minorHAnsi" w:cstheme="minorHAnsi"/>
        </w:rPr>
        <w:t>he government</w:t>
      </w:r>
      <w:r>
        <w:rPr>
          <w:rFonts w:asciiTheme="minorHAnsi" w:hAnsiTheme="minorHAnsi" w:cstheme="minorHAnsi"/>
        </w:rPr>
        <w:t xml:space="preserve">’s intention </w:t>
      </w:r>
      <w:r w:rsidRPr="008F494C">
        <w:rPr>
          <w:rFonts w:asciiTheme="minorHAnsi" w:hAnsiTheme="minorHAnsi" w:cstheme="minorHAnsi"/>
        </w:rPr>
        <w:t xml:space="preserve">to support social enterprises seeking growth investment by extending the operation of Social Investment Tax Relief to April 2023. </w:t>
      </w:r>
      <w:r>
        <w:rPr>
          <w:rFonts w:asciiTheme="minorHAnsi" w:hAnsiTheme="minorHAnsi" w:cstheme="minorHAnsi"/>
        </w:rPr>
        <w:t>I</w:t>
      </w:r>
      <w:r w:rsidRPr="008F494C">
        <w:rPr>
          <w:rFonts w:asciiTheme="minorHAnsi" w:hAnsiTheme="minorHAnsi" w:cstheme="minorHAnsi"/>
        </w:rPr>
        <w:t>ncome tax relief and capital gains tax hold-over relief for investors in qualifying social enterprises</w:t>
      </w:r>
      <w:r>
        <w:rPr>
          <w:rFonts w:asciiTheme="minorHAnsi" w:hAnsiTheme="minorHAnsi" w:cstheme="minorHAnsi"/>
        </w:rPr>
        <w:t xml:space="preserve"> remains available</w:t>
      </w:r>
      <w:r w:rsidRPr="008F494C">
        <w:rPr>
          <w:rFonts w:asciiTheme="minorHAnsi" w:hAnsiTheme="minorHAnsi" w:cstheme="minorHAnsi"/>
        </w:rPr>
        <w:t>.</w:t>
      </w:r>
    </w:p>
    <w:p w14:paraId="16D83BDA" w14:textId="77777777" w:rsidR="0000270F" w:rsidRDefault="0000270F" w:rsidP="0000270F">
      <w:pPr>
        <w:pStyle w:val="loose"/>
        <w:shd w:val="clear" w:color="auto" w:fill="FFFFFF"/>
        <w:spacing w:before="0" w:beforeAutospacing="0" w:after="0" w:afterAutospacing="0" w:line="322" w:lineRule="atLeast"/>
        <w:textAlignment w:val="baseline"/>
        <w:rPr>
          <w:rStyle w:val="bold"/>
          <w:rFonts w:asciiTheme="minorHAnsi" w:hAnsiTheme="minorHAnsi" w:cstheme="minorHAnsi"/>
          <w:b/>
          <w:bCs/>
          <w:color w:val="444444"/>
          <w:bdr w:val="none" w:sz="0" w:space="0" w:color="auto" w:frame="1"/>
        </w:rPr>
      </w:pPr>
      <w:r w:rsidRPr="008F494C">
        <w:rPr>
          <w:rStyle w:val="bold"/>
          <w:rFonts w:asciiTheme="minorHAnsi" w:hAnsiTheme="minorHAnsi" w:cstheme="minorHAnsi"/>
          <w:b/>
          <w:bCs/>
          <w:color w:val="444444"/>
          <w:bdr w:val="none" w:sz="0" w:space="0" w:color="auto" w:frame="1"/>
        </w:rPr>
        <w:t>Car benefits</w:t>
      </w:r>
    </w:p>
    <w:p w14:paraId="007CE74D" w14:textId="77777777" w:rsidR="0000270F" w:rsidRDefault="0000270F" w:rsidP="0000270F">
      <w:pPr>
        <w:pStyle w:val="loose"/>
        <w:shd w:val="clear" w:color="auto" w:fill="FFFFFF"/>
        <w:spacing w:before="0" w:beforeAutospacing="0" w:after="0" w:afterAutospacing="0" w:line="322" w:lineRule="atLeast"/>
        <w:textAlignment w:val="baseline"/>
        <w:rPr>
          <w:rFonts w:ascii="Calibri" w:hAnsi="Calibri" w:cs="Calibri"/>
        </w:rPr>
      </w:pPr>
      <w:r w:rsidRPr="004C2685">
        <w:rPr>
          <w:rFonts w:ascii="Calibri" w:hAnsi="Calibri" w:cs="Calibri"/>
        </w:rPr>
        <w:t xml:space="preserve">First year allowances </w:t>
      </w:r>
      <w:r>
        <w:rPr>
          <w:rFonts w:ascii="Calibri" w:hAnsi="Calibri" w:cs="Calibri"/>
        </w:rPr>
        <w:t xml:space="preserve">of 100% are to be extended </w:t>
      </w:r>
      <w:r w:rsidRPr="004C2685">
        <w:rPr>
          <w:rFonts w:ascii="Calibri" w:hAnsi="Calibri" w:cs="Calibri"/>
        </w:rPr>
        <w:t>for zero-emission business cars and equipment for gas refuelling stations by four years from April 2021. Th</w:t>
      </w:r>
      <w:r>
        <w:rPr>
          <w:rFonts w:ascii="Calibri" w:hAnsi="Calibri" w:cs="Calibri"/>
        </w:rPr>
        <w:t>resholds</w:t>
      </w:r>
      <w:r w:rsidRPr="004C2685">
        <w:rPr>
          <w:rFonts w:ascii="Calibri" w:hAnsi="Calibri" w:cs="Calibri"/>
        </w:rPr>
        <w:t xml:space="preserve"> </w:t>
      </w:r>
      <w:r>
        <w:rPr>
          <w:rFonts w:ascii="Calibri" w:hAnsi="Calibri" w:cs="Calibri"/>
        </w:rPr>
        <w:t xml:space="preserve">of </w:t>
      </w:r>
      <w:r w:rsidRPr="004C2685">
        <w:rPr>
          <w:rFonts w:ascii="Calibri" w:hAnsi="Calibri" w:cs="Calibri"/>
        </w:rPr>
        <w:t>CO2 emission</w:t>
      </w:r>
      <w:r>
        <w:rPr>
          <w:rFonts w:ascii="Calibri" w:hAnsi="Calibri" w:cs="Calibri"/>
        </w:rPr>
        <w:t>s which</w:t>
      </w:r>
      <w:r w:rsidRPr="004C2685">
        <w:rPr>
          <w:rFonts w:ascii="Calibri" w:hAnsi="Calibri" w:cs="Calibri"/>
        </w:rPr>
        <w:t xml:space="preserve"> determine the rate of capital allowances available through which the capital expenditure for business cars can be written down</w:t>
      </w:r>
      <w:r>
        <w:rPr>
          <w:rFonts w:ascii="Calibri" w:hAnsi="Calibri" w:cs="Calibri"/>
        </w:rPr>
        <w:t>, have been amended with effect from April 2021</w:t>
      </w:r>
      <w:r w:rsidRPr="004C2685">
        <w:rPr>
          <w:rFonts w:ascii="Calibri" w:hAnsi="Calibri" w:cs="Calibri"/>
        </w:rPr>
        <w:t xml:space="preserve">. </w:t>
      </w:r>
      <w:r>
        <w:rPr>
          <w:rFonts w:ascii="Calibri" w:hAnsi="Calibri" w:cs="Calibri"/>
        </w:rPr>
        <w:t>Reductions are</w:t>
      </w:r>
    </w:p>
    <w:p w14:paraId="52C224ED" w14:textId="77777777" w:rsidR="0000270F" w:rsidRDefault="0000270F" w:rsidP="0000270F">
      <w:pPr>
        <w:pStyle w:val="loose"/>
        <w:numPr>
          <w:ilvl w:val="0"/>
          <w:numId w:val="5"/>
        </w:numPr>
        <w:shd w:val="clear" w:color="auto" w:fill="FFFFFF"/>
        <w:spacing w:before="0" w:beforeAutospacing="0" w:after="0" w:afterAutospacing="0" w:line="322" w:lineRule="atLeast"/>
        <w:textAlignment w:val="baseline"/>
        <w:rPr>
          <w:rFonts w:ascii="Calibri" w:hAnsi="Calibri" w:cs="Calibri"/>
        </w:rPr>
      </w:pPr>
      <w:r w:rsidRPr="004C2685">
        <w:rPr>
          <w:rFonts w:ascii="Calibri" w:hAnsi="Calibri" w:cs="Calibri"/>
        </w:rPr>
        <w:t>from 50g/km to 0g/km for the purpose of the first year allowances for low CO2 emission cars</w:t>
      </w:r>
      <w:r>
        <w:rPr>
          <w:rFonts w:ascii="Calibri" w:hAnsi="Calibri" w:cs="Calibri"/>
        </w:rPr>
        <w:t>;</w:t>
      </w:r>
      <w:r w:rsidRPr="004C2685">
        <w:rPr>
          <w:rFonts w:ascii="Calibri" w:hAnsi="Calibri" w:cs="Calibri"/>
        </w:rPr>
        <w:t xml:space="preserve"> and </w:t>
      </w:r>
    </w:p>
    <w:p w14:paraId="7D0F7B86" w14:textId="77777777" w:rsidR="0000270F" w:rsidRDefault="0000270F" w:rsidP="0000270F">
      <w:pPr>
        <w:pStyle w:val="loose"/>
        <w:numPr>
          <w:ilvl w:val="0"/>
          <w:numId w:val="5"/>
        </w:numPr>
        <w:shd w:val="clear" w:color="auto" w:fill="FFFFFF"/>
        <w:spacing w:before="0" w:beforeAutospacing="0" w:after="0" w:afterAutospacing="0" w:line="322" w:lineRule="atLeast"/>
        <w:textAlignment w:val="baseline"/>
        <w:rPr>
          <w:rFonts w:ascii="Calibri" w:hAnsi="Calibri" w:cs="Calibri"/>
        </w:rPr>
      </w:pPr>
      <w:r w:rsidRPr="004C2685">
        <w:rPr>
          <w:rFonts w:ascii="Calibri" w:hAnsi="Calibri" w:cs="Calibri"/>
        </w:rPr>
        <w:t>from 110g/km to 50g/km for the purpose of writing down allowances (WDAs) for business cars.</w:t>
      </w:r>
    </w:p>
    <w:p w14:paraId="5602D0C5" w14:textId="77777777" w:rsidR="0000270F" w:rsidRPr="004C2685" w:rsidRDefault="0000270F" w:rsidP="0000270F">
      <w:pPr>
        <w:pStyle w:val="loose"/>
        <w:shd w:val="clear" w:color="auto" w:fill="FFFFFF"/>
        <w:spacing w:before="0" w:beforeAutospacing="0" w:after="0" w:afterAutospacing="0" w:line="322" w:lineRule="atLeast"/>
        <w:textAlignment w:val="baseline"/>
        <w:rPr>
          <w:rFonts w:ascii="Calibri" w:hAnsi="Calibri" w:cs="Calibri"/>
          <w:color w:val="333333"/>
        </w:rPr>
      </w:pPr>
    </w:p>
    <w:p w14:paraId="450FF09B" w14:textId="28067199" w:rsidR="0000270F" w:rsidRPr="008F494C" w:rsidRDefault="0000270F" w:rsidP="0000270F">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The amount to which the appropriate percentage is applied in determining the taxable benefit of company car fuel is £24,600 for 2</w:t>
      </w:r>
      <w:r>
        <w:rPr>
          <w:rFonts w:asciiTheme="minorHAnsi" w:hAnsiTheme="minorHAnsi" w:cstheme="minorHAnsi"/>
          <w:color w:val="333333"/>
        </w:rPr>
        <w:t>0</w:t>
      </w:r>
      <w:r w:rsidRPr="008F494C">
        <w:rPr>
          <w:rFonts w:asciiTheme="minorHAnsi" w:hAnsiTheme="minorHAnsi" w:cstheme="minorHAnsi"/>
          <w:color w:val="333333"/>
        </w:rPr>
        <w:t xml:space="preserve">22 (£24,500 for 2021). </w:t>
      </w:r>
    </w:p>
    <w:p w14:paraId="2A3E4FB5" w14:textId="77777777" w:rsidR="00FF32C0" w:rsidRPr="008F494C" w:rsidRDefault="00FF32C0" w:rsidP="00FF32C0">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National insurance Class 4 limits</w:t>
      </w:r>
    </w:p>
    <w:p w14:paraId="33849597" w14:textId="20F3BA7A" w:rsidR="00FF32C0" w:rsidRDefault="00FF32C0" w:rsidP="00FF32C0">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The Class 4 upper profits limit will increase to £50,270 in 2021/22 and remain at this level up to and including 2025/26. The lower profit limit is increased to £9,568.</w:t>
      </w:r>
    </w:p>
    <w:p w14:paraId="41458F5F" w14:textId="77777777" w:rsidR="004F3C8B" w:rsidRDefault="004F3C8B" w:rsidP="00FF32C0">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p>
    <w:p w14:paraId="08C34771" w14:textId="1171BB87" w:rsidR="00867FD5" w:rsidRPr="008F494C" w:rsidRDefault="00867FD5" w:rsidP="00FF32C0">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noProof/>
          <w:color w:val="333333"/>
        </w:rPr>
        <w:lastRenderedPageBreak/>
        <w:drawing>
          <wp:inline distT="0" distB="0" distL="0" distR="0" wp14:anchorId="5333F605" wp14:editId="417E2F92">
            <wp:extent cx="6038850" cy="5842000"/>
            <wp:effectExtent l="0" t="0" r="0" b="635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38850" cy="5842000"/>
                    </a:xfrm>
                    <a:prstGeom prst="rect">
                      <a:avLst/>
                    </a:prstGeom>
                  </pic:spPr>
                </pic:pic>
              </a:graphicData>
            </a:graphic>
          </wp:inline>
        </w:drawing>
      </w:r>
    </w:p>
    <w:p w14:paraId="2796E354" w14:textId="77777777" w:rsidR="00FB6384" w:rsidRPr="008F494C" w:rsidRDefault="00FB6384" w:rsidP="00FB6384">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Late filing and payment penalties and interest harmonisation</w:t>
      </w:r>
    </w:p>
    <w:p w14:paraId="629BC9FB" w14:textId="358A594D" w:rsidR="00FB6384" w:rsidRPr="008F494C"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xml:space="preserve">A new regime is </w:t>
      </w:r>
      <w:r w:rsidR="00096D46">
        <w:rPr>
          <w:rFonts w:asciiTheme="minorHAnsi" w:hAnsiTheme="minorHAnsi" w:cstheme="minorHAnsi"/>
          <w:color w:val="333333"/>
        </w:rPr>
        <w:t>being</w:t>
      </w:r>
      <w:r w:rsidRPr="008F494C">
        <w:rPr>
          <w:rFonts w:asciiTheme="minorHAnsi" w:hAnsiTheme="minorHAnsi" w:cstheme="minorHAnsi"/>
          <w:color w:val="333333"/>
        </w:rPr>
        <w:t xml:space="preserve"> introduced for late filing and late payment penalties for income tax self-assessment (ITSA)</w:t>
      </w:r>
      <w:r w:rsidR="005F3C95">
        <w:rPr>
          <w:rFonts w:asciiTheme="minorHAnsi" w:hAnsiTheme="minorHAnsi" w:cstheme="minorHAnsi"/>
          <w:color w:val="333333"/>
        </w:rPr>
        <w:t xml:space="preserve"> which </w:t>
      </w:r>
      <w:r w:rsidRPr="008F494C">
        <w:rPr>
          <w:rFonts w:asciiTheme="minorHAnsi" w:hAnsiTheme="minorHAnsi" w:cstheme="minorHAnsi"/>
          <w:color w:val="333333"/>
        </w:rPr>
        <w:t xml:space="preserve">will apply </w:t>
      </w:r>
      <w:r w:rsidR="005F3C95">
        <w:rPr>
          <w:rFonts w:asciiTheme="minorHAnsi" w:hAnsiTheme="minorHAnsi" w:cstheme="minorHAnsi"/>
          <w:color w:val="333333"/>
        </w:rPr>
        <w:t>with effect from</w:t>
      </w:r>
      <w:r w:rsidRPr="008F494C">
        <w:rPr>
          <w:rFonts w:asciiTheme="minorHAnsi" w:hAnsiTheme="minorHAnsi" w:cstheme="minorHAnsi"/>
          <w:color w:val="333333"/>
        </w:rPr>
        <w:t xml:space="preserve"> 6 April 2023 for taxpayers within the Making Tax Digital regime (those with business or property turnover of over £10,000 per year) and 6 April 2024 for other self-assessment taxpayers. </w:t>
      </w:r>
    </w:p>
    <w:p w14:paraId="0DA0926E" w14:textId="77777777" w:rsidR="00FB6384" w:rsidRPr="005F3C95" w:rsidRDefault="00FB6384" w:rsidP="00FB6384">
      <w:pPr>
        <w:pStyle w:val="loose"/>
        <w:shd w:val="clear" w:color="auto" w:fill="FFFFFF"/>
        <w:spacing w:before="0" w:beforeAutospacing="0" w:after="0" w:afterAutospacing="0" w:line="322" w:lineRule="atLeast"/>
        <w:textAlignment w:val="baseline"/>
        <w:rPr>
          <w:rFonts w:asciiTheme="minorHAnsi" w:hAnsiTheme="minorHAnsi" w:cstheme="minorHAnsi"/>
          <w:b/>
          <w:bCs/>
          <w:color w:val="333333"/>
        </w:rPr>
      </w:pPr>
      <w:r w:rsidRPr="005F3C95">
        <w:rPr>
          <w:rStyle w:val="italic"/>
          <w:rFonts w:asciiTheme="minorHAnsi" w:hAnsiTheme="minorHAnsi" w:cstheme="minorHAnsi"/>
          <w:b/>
          <w:bCs/>
          <w:color w:val="333333"/>
          <w:bdr w:val="none" w:sz="0" w:space="0" w:color="auto" w:frame="1"/>
        </w:rPr>
        <w:t>Late filing or submission penalties</w:t>
      </w:r>
    </w:p>
    <w:p w14:paraId="1E4AE006" w14:textId="56106409" w:rsidR="005F3C95"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xml:space="preserve">A points-based system </w:t>
      </w:r>
      <w:r w:rsidR="005F3C95">
        <w:rPr>
          <w:rFonts w:asciiTheme="minorHAnsi" w:hAnsiTheme="minorHAnsi" w:cstheme="minorHAnsi"/>
          <w:color w:val="333333"/>
        </w:rPr>
        <w:t>is being introduced such that each time a</w:t>
      </w:r>
      <w:r w:rsidRPr="008F494C">
        <w:rPr>
          <w:rFonts w:asciiTheme="minorHAnsi" w:hAnsiTheme="minorHAnsi" w:cstheme="minorHAnsi"/>
          <w:color w:val="333333"/>
        </w:rPr>
        <w:t xml:space="preserve"> taxpayer misses a submission deadline they will incur a point. A taxpayer becomes liable to a fixed penalty of £200 upon reaching the points threshold. The threshold depends on the submission frequency: annual</w:t>
      </w:r>
      <w:r w:rsidR="005F3C95">
        <w:rPr>
          <w:rFonts w:asciiTheme="minorHAnsi" w:hAnsiTheme="minorHAnsi" w:cstheme="minorHAnsi"/>
          <w:color w:val="333333"/>
        </w:rPr>
        <w:t xml:space="preserve"> accrual </w:t>
      </w:r>
      <w:r w:rsidRPr="008F494C">
        <w:rPr>
          <w:rFonts w:asciiTheme="minorHAnsi" w:hAnsiTheme="minorHAnsi" w:cstheme="minorHAnsi"/>
          <w:color w:val="333333"/>
        </w:rPr>
        <w:t>2 points; quarterly</w:t>
      </w:r>
      <w:r w:rsidR="005F3C95">
        <w:rPr>
          <w:rFonts w:asciiTheme="minorHAnsi" w:hAnsiTheme="minorHAnsi" w:cstheme="minorHAnsi"/>
          <w:color w:val="333333"/>
        </w:rPr>
        <w:t>,</w:t>
      </w:r>
      <w:r w:rsidRPr="008F494C">
        <w:rPr>
          <w:rFonts w:asciiTheme="minorHAnsi" w:hAnsiTheme="minorHAnsi" w:cstheme="minorHAnsi"/>
          <w:color w:val="333333"/>
        </w:rPr>
        <w:t xml:space="preserve"> 4 points; </w:t>
      </w:r>
      <w:r w:rsidR="005F3C95">
        <w:rPr>
          <w:rFonts w:asciiTheme="minorHAnsi" w:hAnsiTheme="minorHAnsi" w:cstheme="minorHAnsi"/>
          <w:color w:val="333333"/>
        </w:rPr>
        <w:t xml:space="preserve">and </w:t>
      </w:r>
      <w:r w:rsidRPr="008F494C">
        <w:rPr>
          <w:rFonts w:asciiTheme="minorHAnsi" w:hAnsiTheme="minorHAnsi" w:cstheme="minorHAnsi"/>
          <w:color w:val="333333"/>
        </w:rPr>
        <w:t>monthly</w:t>
      </w:r>
      <w:r w:rsidR="005F3C95">
        <w:rPr>
          <w:rFonts w:asciiTheme="minorHAnsi" w:hAnsiTheme="minorHAnsi" w:cstheme="minorHAnsi"/>
          <w:color w:val="333333"/>
        </w:rPr>
        <w:t xml:space="preserve">, </w:t>
      </w:r>
      <w:r w:rsidRPr="008F494C">
        <w:rPr>
          <w:rFonts w:asciiTheme="minorHAnsi" w:hAnsiTheme="minorHAnsi" w:cstheme="minorHAnsi"/>
          <w:color w:val="333333"/>
        </w:rPr>
        <w:t xml:space="preserve">5 points. </w:t>
      </w:r>
    </w:p>
    <w:p w14:paraId="641E3D2E" w14:textId="64867FCB" w:rsidR="00FB6384" w:rsidRPr="008F494C" w:rsidRDefault="005F3C95"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The</w:t>
      </w:r>
      <w:r w:rsidR="00FB6384" w:rsidRPr="008F494C">
        <w:rPr>
          <w:rFonts w:asciiTheme="minorHAnsi" w:hAnsiTheme="minorHAnsi" w:cstheme="minorHAnsi"/>
          <w:color w:val="333333"/>
        </w:rPr>
        <w:t xml:space="preserve"> points </w:t>
      </w:r>
      <w:r>
        <w:rPr>
          <w:rFonts w:asciiTheme="minorHAnsi" w:hAnsiTheme="minorHAnsi" w:cstheme="minorHAnsi"/>
          <w:color w:val="333333"/>
        </w:rPr>
        <w:t>incurred</w:t>
      </w:r>
      <w:r w:rsidR="00FB6384" w:rsidRPr="008F494C">
        <w:rPr>
          <w:rFonts w:asciiTheme="minorHAnsi" w:hAnsiTheme="minorHAnsi" w:cstheme="minorHAnsi"/>
          <w:color w:val="333333"/>
        </w:rPr>
        <w:t xml:space="preserve"> will expire after 24 months provid</w:t>
      </w:r>
      <w:r>
        <w:rPr>
          <w:rFonts w:asciiTheme="minorHAnsi" w:hAnsiTheme="minorHAnsi" w:cstheme="minorHAnsi"/>
          <w:color w:val="333333"/>
        </w:rPr>
        <w:t>ing</w:t>
      </w:r>
      <w:r w:rsidR="00FB6384" w:rsidRPr="008F494C">
        <w:rPr>
          <w:rFonts w:asciiTheme="minorHAnsi" w:hAnsiTheme="minorHAnsi" w:cstheme="minorHAnsi"/>
          <w:color w:val="333333"/>
        </w:rPr>
        <w:t xml:space="preserve"> the taxpayer remains below the threshold. </w:t>
      </w:r>
      <w:r>
        <w:rPr>
          <w:rFonts w:asciiTheme="minorHAnsi" w:hAnsiTheme="minorHAnsi" w:cstheme="minorHAnsi"/>
          <w:color w:val="333333"/>
        </w:rPr>
        <w:t>Once</w:t>
      </w:r>
      <w:r w:rsidR="00FB6384" w:rsidRPr="008F494C">
        <w:rPr>
          <w:rFonts w:asciiTheme="minorHAnsi" w:hAnsiTheme="minorHAnsi" w:cstheme="minorHAnsi"/>
          <w:color w:val="333333"/>
        </w:rPr>
        <w:t xml:space="preserve"> the threshold </w:t>
      </w:r>
      <w:r>
        <w:rPr>
          <w:rFonts w:asciiTheme="minorHAnsi" w:hAnsiTheme="minorHAnsi" w:cstheme="minorHAnsi"/>
          <w:color w:val="333333"/>
        </w:rPr>
        <w:t>is</w:t>
      </w:r>
      <w:r w:rsidR="00FB6384" w:rsidRPr="008F494C">
        <w:rPr>
          <w:rFonts w:asciiTheme="minorHAnsi" w:hAnsiTheme="minorHAnsi" w:cstheme="minorHAnsi"/>
          <w:color w:val="333333"/>
        </w:rPr>
        <w:t xml:space="preserve"> reached, all points will expire </w:t>
      </w:r>
      <w:r>
        <w:rPr>
          <w:rFonts w:asciiTheme="minorHAnsi" w:hAnsiTheme="minorHAnsi" w:cstheme="minorHAnsi"/>
          <w:color w:val="333333"/>
        </w:rPr>
        <w:t>if</w:t>
      </w:r>
      <w:r w:rsidR="00FB6384" w:rsidRPr="008F494C">
        <w:rPr>
          <w:rFonts w:asciiTheme="minorHAnsi" w:hAnsiTheme="minorHAnsi" w:cstheme="minorHAnsi"/>
          <w:color w:val="333333"/>
        </w:rPr>
        <w:t xml:space="preserve"> the taxpayer </w:t>
      </w:r>
      <w:r>
        <w:rPr>
          <w:rFonts w:asciiTheme="minorHAnsi" w:hAnsiTheme="minorHAnsi" w:cstheme="minorHAnsi"/>
          <w:color w:val="333333"/>
        </w:rPr>
        <w:t>meets</w:t>
      </w:r>
      <w:r w:rsidR="00FB6384" w:rsidRPr="008F494C">
        <w:rPr>
          <w:rFonts w:asciiTheme="minorHAnsi" w:hAnsiTheme="minorHAnsi" w:cstheme="minorHAnsi"/>
          <w:color w:val="333333"/>
        </w:rPr>
        <w:t xml:space="preserve"> their </w:t>
      </w:r>
      <w:r w:rsidR="00FB6384" w:rsidRPr="008F494C">
        <w:rPr>
          <w:rFonts w:asciiTheme="minorHAnsi" w:hAnsiTheme="minorHAnsi" w:cstheme="minorHAnsi"/>
          <w:color w:val="333333"/>
        </w:rPr>
        <w:lastRenderedPageBreak/>
        <w:t>return obligations for a set period of time</w:t>
      </w:r>
      <w:r>
        <w:rPr>
          <w:rFonts w:asciiTheme="minorHAnsi" w:hAnsiTheme="minorHAnsi" w:cstheme="minorHAnsi"/>
          <w:color w:val="333333"/>
        </w:rPr>
        <w:t>. This period is</w:t>
      </w:r>
      <w:r w:rsidR="00FB6384" w:rsidRPr="008F494C">
        <w:rPr>
          <w:rFonts w:asciiTheme="minorHAnsi" w:hAnsiTheme="minorHAnsi" w:cstheme="minorHAnsi"/>
          <w:color w:val="333333"/>
        </w:rPr>
        <w:t xml:space="preserve"> based on their submission frequency: annually</w:t>
      </w:r>
      <w:r>
        <w:rPr>
          <w:rFonts w:asciiTheme="minorHAnsi" w:hAnsiTheme="minorHAnsi" w:cstheme="minorHAnsi"/>
          <w:color w:val="333333"/>
        </w:rPr>
        <w:t xml:space="preserve">, </w:t>
      </w:r>
      <w:r w:rsidR="00FB6384" w:rsidRPr="008F494C">
        <w:rPr>
          <w:rFonts w:asciiTheme="minorHAnsi" w:hAnsiTheme="minorHAnsi" w:cstheme="minorHAnsi"/>
          <w:color w:val="333333"/>
        </w:rPr>
        <w:t>24 months; quarterly</w:t>
      </w:r>
      <w:r>
        <w:rPr>
          <w:rFonts w:asciiTheme="minorHAnsi" w:hAnsiTheme="minorHAnsi" w:cstheme="minorHAnsi"/>
          <w:color w:val="333333"/>
        </w:rPr>
        <w:t>,</w:t>
      </w:r>
      <w:r w:rsidR="00FB6384" w:rsidRPr="008F494C">
        <w:rPr>
          <w:rFonts w:asciiTheme="minorHAnsi" w:hAnsiTheme="minorHAnsi" w:cstheme="minorHAnsi"/>
          <w:color w:val="333333"/>
        </w:rPr>
        <w:t xml:space="preserve"> 12 months; monthly</w:t>
      </w:r>
      <w:r>
        <w:rPr>
          <w:rFonts w:asciiTheme="minorHAnsi" w:hAnsiTheme="minorHAnsi" w:cstheme="minorHAnsi"/>
          <w:color w:val="333333"/>
        </w:rPr>
        <w:t>,</w:t>
      </w:r>
      <w:r w:rsidR="00FB6384" w:rsidRPr="008F494C">
        <w:rPr>
          <w:rFonts w:asciiTheme="minorHAnsi" w:hAnsiTheme="minorHAnsi" w:cstheme="minorHAnsi"/>
          <w:color w:val="333333"/>
        </w:rPr>
        <w:t xml:space="preserve"> 6 months.</w:t>
      </w:r>
    </w:p>
    <w:p w14:paraId="771E08E4" w14:textId="232B14F5" w:rsidR="00FB6384" w:rsidRPr="008F494C"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If the taxpayer continues to miss deadlines after they reach the points threshold and been issued with a penalty, they will become liable for further fixed rate penalt</w:t>
      </w:r>
      <w:r w:rsidR="005F3C95">
        <w:rPr>
          <w:rFonts w:asciiTheme="minorHAnsi" w:hAnsiTheme="minorHAnsi" w:cstheme="minorHAnsi"/>
          <w:color w:val="333333"/>
        </w:rPr>
        <w:t>ies</w:t>
      </w:r>
      <w:r w:rsidRPr="008F494C">
        <w:rPr>
          <w:rFonts w:asciiTheme="minorHAnsi" w:hAnsiTheme="minorHAnsi" w:cstheme="minorHAnsi"/>
          <w:color w:val="333333"/>
        </w:rPr>
        <w:t xml:space="preserve"> </w:t>
      </w:r>
      <w:r w:rsidR="005F3C95">
        <w:rPr>
          <w:rFonts w:asciiTheme="minorHAnsi" w:hAnsiTheme="minorHAnsi" w:cstheme="minorHAnsi"/>
          <w:color w:val="333333"/>
        </w:rPr>
        <w:t>as</w:t>
      </w:r>
      <w:r w:rsidRPr="008F494C">
        <w:rPr>
          <w:rFonts w:asciiTheme="minorHAnsi" w:hAnsiTheme="minorHAnsi" w:cstheme="minorHAnsi"/>
          <w:color w:val="333333"/>
        </w:rPr>
        <w:t xml:space="preserve"> additional obligation</w:t>
      </w:r>
      <w:r w:rsidR="005F3C95">
        <w:rPr>
          <w:rFonts w:asciiTheme="minorHAnsi" w:hAnsiTheme="minorHAnsi" w:cstheme="minorHAnsi"/>
          <w:color w:val="333333"/>
        </w:rPr>
        <w:t>s are missed</w:t>
      </w:r>
      <w:r w:rsidRPr="008F494C">
        <w:rPr>
          <w:rFonts w:asciiTheme="minorHAnsi" w:hAnsiTheme="minorHAnsi" w:cstheme="minorHAnsi"/>
          <w:color w:val="333333"/>
        </w:rPr>
        <w:t xml:space="preserve">. A taxpayer will not be liable if a reasonable excuse for not submitting on time </w:t>
      </w:r>
      <w:r w:rsidR="005F3C95">
        <w:rPr>
          <w:rFonts w:asciiTheme="minorHAnsi" w:hAnsiTheme="minorHAnsi" w:cstheme="minorHAnsi"/>
          <w:color w:val="333333"/>
        </w:rPr>
        <w:t xml:space="preserve">is provided, </w:t>
      </w:r>
      <w:r w:rsidRPr="008F494C">
        <w:rPr>
          <w:rFonts w:asciiTheme="minorHAnsi" w:hAnsiTheme="minorHAnsi" w:cstheme="minorHAnsi"/>
          <w:color w:val="333333"/>
        </w:rPr>
        <w:t xml:space="preserve">and </w:t>
      </w:r>
      <w:r w:rsidR="005F3C95">
        <w:rPr>
          <w:rFonts w:asciiTheme="minorHAnsi" w:hAnsiTheme="minorHAnsi" w:cstheme="minorHAnsi"/>
          <w:color w:val="333333"/>
        </w:rPr>
        <w:t>there is a</w:t>
      </w:r>
      <w:r w:rsidRPr="008F494C">
        <w:rPr>
          <w:rFonts w:asciiTheme="minorHAnsi" w:hAnsiTheme="minorHAnsi" w:cstheme="minorHAnsi"/>
          <w:color w:val="333333"/>
        </w:rPr>
        <w:t xml:space="preserve"> right of appeal against both points and penalties.</w:t>
      </w:r>
    </w:p>
    <w:p w14:paraId="56480458" w14:textId="77777777" w:rsidR="00FB6384" w:rsidRPr="005F3C95" w:rsidRDefault="00FB6384" w:rsidP="00FB6384">
      <w:pPr>
        <w:pStyle w:val="loose"/>
        <w:shd w:val="clear" w:color="auto" w:fill="FFFFFF"/>
        <w:spacing w:before="0" w:beforeAutospacing="0" w:after="0" w:afterAutospacing="0" w:line="322" w:lineRule="atLeast"/>
        <w:textAlignment w:val="baseline"/>
        <w:rPr>
          <w:rFonts w:asciiTheme="minorHAnsi" w:hAnsiTheme="minorHAnsi" w:cstheme="minorHAnsi"/>
          <w:b/>
          <w:bCs/>
          <w:color w:val="333333"/>
        </w:rPr>
      </w:pPr>
      <w:r w:rsidRPr="005F3C95">
        <w:rPr>
          <w:rStyle w:val="italic"/>
          <w:rFonts w:asciiTheme="minorHAnsi" w:hAnsiTheme="minorHAnsi" w:cstheme="minorHAnsi"/>
          <w:b/>
          <w:bCs/>
          <w:color w:val="333333"/>
          <w:bdr w:val="none" w:sz="0" w:space="0" w:color="auto" w:frame="1"/>
        </w:rPr>
        <w:t>Late payment penalties</w:t>
      </w:r>
    </w:p>
    <w:p w14:paraId="23DB8501" w14:textId="75613A97" w:rsidR="00FB6384" w:rsidRPr="008F494C"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xml:space="preserve">There will be no penalty </w:t>
      </w:r>
      <w:r w:rsidR="005F3C95">
        <w:rPr>
          <w:rFonts w:asciiTheme="minorHAnsi" w:hAnsiTheme="minorHAnsi" w:cstheme="minorHAnsi"/>
          <w:color w:val="333333"/>
        </w:rPr>
        <w:t>for</w:t>
      </w:r>
      <w:r w:rsidRPr="008F494C">
        <w:rPr>
          <w:rFonts w:asciiTheme="minorHAnsi" w:hAnsiTheme="minorHAnsi" w:cstheme="minorHAnsi"/>
          <w:color w:val="333333"/>
        </w:rPr>
        <w:t xml:space="preserve"> tax </w:t>
      </w:r>
      <w:r w:rsidR="005F3C95">
        <w:rPr>
          <w:rFonts w:asciiTheme="minorHAnsi" w:hAnsiTheme="minorHAnsi" w:cstheme="minorHAnsi"/>
          <w:color w:val="333333"/>
        </w:rPr>
        <w:t xml:space="preserve">paid </w:t>
      </w:r>
      <w:r w:rsidRPr="008F494C">
        <w:rPr>
          <w:rFonts w:asciiTheme="minorHAnsi" w:hAnsiTheme="minorHAnsi" w:cstheme="minorHAnsi"/>
          <w:color w:val="333333"/>
        </w:rPr>
        <w:t xml:space="preserve">late but within 15 days of the due date. The first penalty </w:t>
      </w:r>
      <w:r w:rsidR="005F3C95">
        <w:rPr>
          <w:rFonts w:asciiTheme="minorHAnsi" w:hAnsiTheme="minorHAnsi" w:cstheme="minorHAnsi"/>
          <w:color w:val="333333"/>
        </w:rPr>
        <w:t>thereafter is</w:t>
      </w:r>
      <w:r w:rsidRPr="008F494C">
        <w:rPr>
          <w:rFonts w:asciiTheme="minorHAnsi" w:hAnsiTheme="minorHAnsi" w:cstheme="minorHAnsi"/>
          <w:color w:val="333333"/>
        </w:rPr>
        <w:t xml:space="preserve"> set at 2% of the outstanding amount if payment is made between 16 and 30 days after the due date</w:t>
      </w:r>
      <w:r w:rsidR="008C0AE1">
        <w:rPr>
          <w:rFonts w:asciiTheme="minorHAnsi" w:hAnsiTheme="minorHAnsi" w:cstheme="minorHAnsi"/>
          <w:color w:val="333333"/>
        </w:rPr>
        <w:t xml:space="preserve"> increasing to</w:t>
      </w:r>
      <w:r w:rsidRPr="008F494C">
        <w:rPr>
          <w:rFonts w:asciiTheme="minorHAnsi" w:hAnsiTheme="minorHAnsi" w:cstheme="minorHAnsi"/>
          <w:color w:val="333333"/>
        </w:rPr>
        <w:t xml:space="preserve"> 4% of the outstanding amount if tax </w:t>
      </w:r>
      <w:r w:rsidR="008C0AE1">
        <w:rPr>
          <w:rFonts w:asciiTheme="minorHAnsi" w:hAnsiTheme="minorHAnsi" w:cstheme="minorHAnsi"/>
          <w:color w:val="333333"/>
        </w:rPr>
        <w:t xml:space="preserve">is </w:t>
      </w:r>
      <w:r w:rsidRPr="008F494C">
        <w:rPr>
          <w:rFonts w:asciiTheme="minorHAnsi" w:hAnsiTheme="minorHAnsi" w:cstheme="minorHAnsi"/>
          <w:color w:val="333333"/>
        </w:rPr>
        <w:t xml:space="preserve">left </w:t>
      </w:r>
      <w:r w:rsidR="008C0AE1">
        <w:rPr>
          <w:rFonts w:asciiTheme="minorHAnsi" w:hAnsiTheme="minorHAnsi" w:cstheme="minorHAnsi"/>
          <w:color w:val="333333"/>
        </w:rPr>
        <w:t>outstanding</w:t>
      </w:r>
      <w:r w:rsidRPr="008F494C">
        <w:rPr>
          <w:rFonts w:asciiTheme="minorHAnsi" w:hAnsiTheme="minorHAnsi" w:cstheme="minorHAnsi"/>
          <w:color w:val="333333"/>
        </w:rPr>
        <w:t xml:space="preserve"> 30 days after the due date. A second penalty is </w:t>
      </w:r>
      <w:r w:rsidR="008C0AE1">
        <w:rPr>
          <w:rFonts w:asciiTheme="minorHAnsi" w:hAnsiTheme="minorHAnsi" w:cstheme="minorHAnsi"/>
          <w:color w:val="333333"/>
        </w:rPr>
        <w:t>charged</w:t>
      </w:r>
      <w:r w:rsidRPr="008F494C">
        <w:rPr>
          <w:rFonts w:asciiTheme="minorHAnsi" w:hAnsiTheme="minorHAnsi" w:cstheme="minorHAnsi"/>
          <w:color w:val="333333"/>
        </w:rPr>
        <w:t xml:space="preserve"> at 4% per annum, calculated on a daily basis on the total </w:t>
      </w:r>
      <w:r w:rsidR="008C0AE1">
        <w:rPr>
          <w:rFonts w:asciiTheme="minorHAnsi" w:hAnsiTheme="minorHAnsi" w:cstheme="minorHAnsi"/>
          <w:color w:val="333333"/>
        </w:rPr>
        <w:t>amount outstanding after day 30.</w:t>
      </w:r>
    </w:p>
    <w:p w14:paraId="2A7D8389" w14:textId="46D1036A" w:rsidR="00FB6384" w:rsidRDefault="00FB6384" w:rsidP="00FF32C0">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To avoid or reduce penalties, the taxpayer can approach HMRC to agree a Time to Pay Arrangement.</w:t>
      </w:r>
      <w:r w:rsidR="008C0AE1">
        <w:rPr>
          <w:rFonts w:asciiTheme="minorHAnsi" w:hAnsiTheme="minorHAnsi" w:cstheme="minorHAnsi"/>
          <w:color w:val="333333"/>
        </w:rPr>
        <w:t xml:space="preserve"> The approach is likely to have to be made in person and usually involves discussion of affordability. Our experience shows that HMRC have little sympathy for what they may consider to be extravagant lifestyle choices e.g. private school fees, expensive vehicle lease payments and an unwillingness to cash in ISAs!</w:t>
      </w:r>
    </w:p>
    <w:p w14:paraId="5B7CD4EB" w14:textId="397A43BF" w:rsidR="00915579" w:rsidRPr="008F494C" w:rsidRDefault="00867FD5" w:rsidP="00FF32C0">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noProof/>
          <w:color w:val="333333"/>
        </w:rPr>
        <w:lastRenderedPageBreak/>
        <w:drawing>
          <wp:inline distT="0" distB="0" distL="0" distR="0" wp14:anchorId="2285BE78" wp14:editId="10A377F0">
            <wp:extent cx="5504815" cy="5953125"/>
            <wp:effectExtent l="0" t="0" r="635" b="952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3348" cy="5962353"/>
                    </a:xfrm>
                    <a:prstGeom prst="rect">
                      <a:avLst/>
                    </a:prstGeom>
                  </pic:spPr>
                </pic:pic>
              </a:graphicData>
            </a:graphic>
          </wp:inline>
        </w:drawing>
      </w:r>
    </w:p>
    <w:p w14:paraId="7D93DC0D" w14:textId="77777777" w:rsidR="00075E29" w:rsidRPr="00096D46" w:rsidRDefault="00075E29" w:rsidP="00344233">
      <w:pPr>
        <w:pStyle w:val="loose"/>
        <w:shd w:val="clear" w:color="auto" w:fill="FFFFFF"/>
        <w:spacing w:before="0" w:beforeAutospacing="0" w:after="0" w:afterAutospacing="0" w:line="322" w:lineRule="atLeast"/>
        <w:textAlignment w:val="baseline"/>
        <w:rPr>
          <w:rFonts w:asciiTheme="minorHAnsi" w:hAnsiTheme="minorHAnsi" w:cstheme="minorHAnsi"/>
          <w:b/>
          <w:bCs/>
          <w:color w:val="333333"/>
        </w:rPr>
      </w:pPr>
      <w:r w:rsidRPr="00096D46">
        <w:rPr>
          <w:rFonts w:asciiTheme="minorHAnsi" w:hAnsiTheme="minorHAnsi" w:cstheme="minorHAnsi"/>
          <w:b/>
          <w:bCs/>
          <w:color w:val="333333"/>
        </w:rPr>
        <w:t>Pensions</w:t>
      </w:r>
    </w:p>
    <w:p w14:paraId="5DBD36CC" w14:textId="039E4B0E" w:rsidR="00075E29" w:rsidRDefault="00075E29" w:rsidP="00344233">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xml:space="preserve">After the </w:t>
      </w:r>
      <w:r w:rsidRPr="008F494C">
        <w:rPr>
          <w:rFonts w:asciiTheme="minorHAnsi" w:hAnsiTheme="minorHAnsi" w:cstheme="minorHAnsi"/>
          <w:color w:val="4D5156"/>
          <w:shd w:val="clear" w:color="auto" w:fill="FFFFFF"/>
        </w:rPr>
        <w:t>McCloud judgment </w:t>
      </w:r>
      <w:r w:rsidRPr="008F494C">
        <w:rPr>
          <w:rFonts w:asciiTheme="minorHAnsi" w:hAnsiTheme="minorHAnsi" w:cstheme="minorHAnsi"/>
          <w:color w:val="333333"/>
        </w:rPr>
        <w:t>and the choice underpin promise</w:t>
      </w:r>
      <w:r w:rsidR="008C0AE1">
        <w:rPr>
          <w:rFonts w:asciiTheme="minorHAnsi" w:hAnsiTheme="minorHAnsi" w:cstheme="minorHAnsi"/>
          <w:color w:val="333333"/>
        </w:rPr>
        <w:t xml:space="preserve"> (</w:t>
      </w:r>
      <w:hyperlink r:id="rId9" w:history="1">
        <w:r w:rsidR="008C0AE1" w:rsidRPr="00A634BF">
          <w:rPr>
            <w:rStyle w:val="Hyperlink"/>
            <w:rFonts w:asciiTheme="minorHAnsi" w:hAnsiTheme="minorHAnsi" w:cstheme="minorHAnsi"/>
          </w:rPr>
          <w:t>see here for detail</w:t>
        </w:r>
      </w:hyperlink>
      <w:r w:rsidR="008C0AE1">
        <w:rPr>
          <w:rFonts w:asciiTheme="minorHAnsi" w:hAnsiTheme="minorHAnsi" w:cstheme="minorHAnsi"/>
          <w:color w:val="333333"/>
        </w:rPr>
        <w:t>)</w:t>
      </w:r>
      <w:r w:rsidRPr="008F494C">
        <w:rPr>
          <w:rFonts w:asciiTheme="minorHAnsi" w:hAnsiTheme="minorHAnsi" w:cstheme="minorHAnsi"/>
          <w:color w:val="333333"/>
        </w:rPr>
        <w:t xml:space="preserve">, the government could not be expected to allow pensions to continue untouched so in line with other restrictions </w:t>
      </w:r>
      <w:r w:rsidR="00344233" w:rsidRPr="008F494C">
        <w:rPr>
          <w:rFonts w:asciiTheme="minorHAnsi" w:hAnsiTheme="minorHAnsi" w:cstheme="minorHAnsi"/>
          <w:color w:val="333333"/>
        </w:rPr>
        <w:t xml:space="preserve">the link to the Consumer Price Index increase for the lifetime allowance has been removed for five years, so the allowance </w:t>
      </w:r>
      <w:r w:rsidRPr="008F494C">
        <w:rPr>
          <w:rFonts w:asciiTheme="minorHAnsi" w:hAnsiTheme="minorHAnsi" w:cstheme="minorHAnsi"/>
          <w:color w:val="333333"/>
        </w:rPr>
        <w:t xml:space="preserve">will </w:t>
      </w:r>
      <w:r w:rsidR="00344233" w:rsidRPr="008F494C">
        <w:rPr>
          <w:rFonts w:asciiTheme="minorHAnsi" w:hAnsiTheme="minorHAnsi" w:cstheme="minorHAnsi"/>
          <w:color w:val="333333"/>
        </w:rPr>
        <w:t xml:space="preserve">remain at £1,073,100 for 2022 to 2026. </w:t>
      </w:r>
      <w:r w:rsidRPr="008F494C">
        <w:rPr>
          <w:rFonts w:asciiTheme="minorHAnsi" w:hAnsiTheme="minorHAnsi" w:cstheme="minorHAnsi"/>
          <w:color w:val="333333"/>
        </w:rPr>
        <w:t xml:space="preserve">This is not </w:t>
      </w:r>
      <w:r w:rsidR="00021459">
        <w:rPr>
          <w:rFonts w:asciiTheme="minorHAnsi" w:hAnsiTheme="minorHAnsi" w:cstheme="minorHAnsi"/>
          <w:color w:val="333333"/>
        </w:rPr>
        <w:t xml:space="preserve">too </w:t>
      </w:r>
      <w:r w:rsidRPr="008F494C">
        <w:rPr>
          <w:rFonts w:asciiTheme="minorHAnsi" w:hAnsiTheme="minorHAnsi" w:cstheme="minorHAnsi"/>
          <w:color w:val="333333"/>
        </w:rPr>
        <w:t xml:space="preserve">far off those who have protection in place at £1.2m, and so </w:t>
      </w:r>
      <w:r w:rsidR="008C0AE1">
        <w:rPr>
          <w:rFonts w:asciiTheme="minorHAnsi" w:hAnsiTheme="minorHAnsi" w:cstheme="minorHAnsi"/>
          <w:color w:val="333333"/>
        </w:rPr>
        <w:t xml:space="preserve">some </w:t>
      </w:r>
      <w:r w:rsidRPr="008F494C">
        <w:rPr>
          <w:rFonts w:asciiTheme="minorHAnsi" w:hAnsiTheme="minorHAnsi" w:cstheme="minorHAnsi"/>
          <w:color w:val="333333"/>
        </w:rPr>
        <w:t xml:space="preserve">doctors </w:t>
      </w:r>
      <w:r w:rsidR="008C0AE1">
        <w:rPr>
          <w:rFonts w:asciiTheme="minorHAnsi" w:hAnsiTheme="minorHAnsi" w:cstheme="minorHAnsi"/>
          <w:color w:val="333333"/>
        </w:rPr>
        <w:t>may</w:t>
      </w:r>
      <w:r w:rsidRPr="008F494C">
        <w:rPr>
          <w:rFonts w:asciiTheme="minorHAnsi" w:hAnsiTheme="minorHAnsi" w:cstheme="minorHAnsi"/>
          <w:color w:val="333333"/>
        </w:rPr>
        <w:t xml:space="preserve"> be considering if a return to the pension scheme, from which some in their fifties and sixties opted out, might increase their pension overall, even after tax.</w:t>
      </w:r>
      <w:r w:rsidR="00021459">
        <w:rPr>
          <w:rFonts w:asciiTheme="minorHAnsi" w:hAnsiTheme="minorHAnsi" w:cstheme="minorHAnsi"/>
          <w:color w:val="333333"/>
        </w:rPr>
        <w:t xml:space="preserve"> This is a complex area and advice should be sought.</w:t>
      </w:r>
    </w:p>
    <w:p w14:paraId="6AB2050A" w14:textId="4A78503C" w:rsidR="004F3C8B" w:rsidRDefault="004F3C8B">
      <w:pPr>
        <w:rPr>
          <w:rFonts w:eastAsia="Times New Roman" w:cstheme="minorHAnsi"/>
          <w:color w:val="333333"/>
          <w:sz w:val="24"/>
          <w:szCs w:val="24"/>
          <w:lang w:eastAsia="en-GB"/>
        </w:rPr>
      </w:pPr>
      <w:r>
        <w:rPr>
          <w:rFonts w:cstheme="minorHAnsi"/>
          <w:color w:val="333333"/>
        </w:rPr>
        <w:br w:type="page"/>
      </w:r>
    </w:p>
    <w:p w14:paraId="04AAF474" w14:textId="77777777" w:rsidR="004F3C8B" w:rsidRPr="008F494C" w:rsidRDefault="004F3C8B" w:rsidP="00344233">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p>
    <w:p w14:paraId="015A748A" w14:textId="3BA06698" w:rsidR="00075E29" w:rsidRDefault="00075E29" w:rsidP="00344233">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p>
    <w:p w14:paraId="138CA445" w14:textId="6C1D8265" w:rsidR="00915579" w:rsidRPr="008F494C" w:rsidRDefault="00915579" w:rsidP="00344233">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Pr>
          <w:rFonts w:asciiTheme="minorHAnsi" w:hAnsiTheme="minorHAnsi" w:cstheme="minorHAnsi"/>
          <w:noProof/>
          <w:color w:val="333333"/>
        </w:rPr>
        <w:drawing>
          <wp:inline distT="0" distB="0" distL="0" distR="0" wp14:anchorId="432041B2" wp14:editId="623F8E9B">
            <wp:extent cx="5731510" cy="4946650"/>
            <wp:effectExtent l="0" t="0" r="2540" b="635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946650"/>
                    </a:xfrm>
                    <a:prstGeom prst="rect">
                      <a:avLst/>
                    </a:prstGeom>
                  </pic:spPr>
                </pic:pic>
              </a:graphicData>
            </a:graphic>
          </wp:inline>
        </w:drawing>
      </w:r>
    </w:p>
    <w:p w14:paraId="6F7536D8" w14:textId="51ACDD82" w:rsidR="00FF32C0" w:rsidRPr="00096D46" w:rsidRDefault="00FF32C0" w:rsidP="00344233">
      <w:pPr>
        <w:pStyle w:val="loose"/>
        <w:shd w:val="clear" w:color="auto" w:fill="FFFFFF"/>
        <w:spacing w:before="0" w:beforeAutospacing="0" w:after="0" w:afterAutospacing="0" w:line="322" w:lineRule="atLeast"/>
        <w:textAlignment w:val="baseline"/>
        <w:rPr>
          <w:rFonts w:asciiTheme="minorHAnsi" w:hAnsiTheme="minorHAnsi" w:cstheme="minorHAnsi"/>
          <w:b/>
          <w:bCs/>
          <w:color w:val="333333"/>
        </w:rPr>
      </w:pPr>
      <w:r w:rsidRPr="00096D46">
        <w:rPr>
          <w:rFonts w:asciiTheme="minorHAnsi" w:hAnsiTheme="minorHAnsi" w:cstheme="minorHAnsi"/>
          <w:b/>
          <w:bCs/>
          <w:color w:val="333333"/>
        </w:rPr>
        <w:t>Capital Gains</w:t>
      </w:r>
    </w:p>
    <w:p w14:paraId="6FBAA628" w14:textId="34FC6CC4" w:rsidR="00FF32C0" w:rsidRDefault="00FF32C0" w:rsidP="00FF32C0">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Despite the report from the Office of Tax Simplification calling for changes to capital gains tax</w:t>
      </w:r>
      <w:r w:rsidR="00021459">
        <w:rPr>
          <w:rFonts w:asciiTheme="minorHAnsi" w:hAnsiTheme="minorHAnsi" w:cstheme="minorHAnsi"/>
          <w:color w:val="333333"/>
        </w:rPr>
        <w:t xml:space="preserve"> (</w:t>
      </w:r>
      <w:hyperlink r:id="rId11" w:history="1">
        <w:r w:rsidR="00021459" w:rsidRPr="00A634BF">
          <w:rPr>
            <w:rStyle w:val="Hyperlink"/>
            <w:rFonts w:asciiTheme="minorHAnsi" w:hAnsiTheme="minorHAnsi" w:cstheme="minorHAnsi"/>
          </w:rPr>
          <w:t>see here for summary</w:t>
        </w:r>
      </w:hyperlink>
      <w:r w:rsidR="00021459">
        <w:rPr>
          <w:rFonts w:asciiTheme="minorHAnsi" w:hAnsiTheme="minorHAnsi" w:cstheme="minorHAnsi"/>
          <w:color w:val="333333"/>
        </w:rPr>
        <w:t>)</w:t>
      </w:r>
      <w:r w:rsidRPr="008F494C">
        <w:rPr>
          <w:rFonts w:asciiTheme="minorHAnsi" w:hAnsiTheme="minorHAnsi" w:cstheme="minorHAnsi"/>
          <w:color w:val="333333"/>
        </w:rPr>
        <w:t xml:space="preserve">, there has been no movement as yet, leaving the capital gains tax annual exempt amount at £12,300 albeit </w:t>
      </w:r>
      <w:r w:rsidR="004C2685">
        <w:rPr>
          <w:rFonts w:asciiTheme="minorHAnsi" w:hAnsiTheme="minorHAnsi" w:cstheme="minorHAnsi"/>
          <w:color w:val="333333"/>
        </w:rPr>
        <w:t xml:space="preserve">remaining </w:t>
      </w:r>
      <w:r w:rsidRPr="008F494C">
        <w:rPr>
          <w:rFonts w:asciiTheme="minorHAnsi" w:hAnsiTheme="minorHAnsi" w:cstheme="minorHAnsi"/>
          <w:color w:val="333333"/>
        </w:rPr>
        <w:t xml:space="preserve">static up to and including 2026. The government may have thought that now is not the time for radical change, but the OTS recommendations are unlikely to be ignored. </w:t>
      </w:r>
      <w:r w:rsidR="004C2685">
        <w:rPr>
          <w:rFonts w:asciiTheme="minorHAnsi" w:hAnsiTheme="minorHAnsi" w:cstheme="minorHAnsi"/>
          <w:color w:val="333333"/>
        </w:rPr>
        <w:t>HMRC already have powers to force commercial dividend payments from reserves in companies hoarding earned profits, and we may well see this power exerted post-Covid as the economy settles.</w:t>
      </w:r>
    </w:p>
    <w:p w14:paraId="03FB8EB7" w14:textId="77777777" w:rsidR="00A634BF" w:rsidRPr="00A634BF" w:rsidRDefault="00A634BF" w:rsidP="00FF32C0">
      <w:pPr>
        <w:pStyle w:val="loose"/>
        <w:shd w:val="clear" w:color="auto" w:fill="FFFFFF"/>
        <w:spacing w:before="0" w:beforeAutospacing="0" w:after="240" w:afterAutospacing="0" w:line="322" w:lineRule="atLeast"/>
        <w:textAlignment w:val="baseline"/>
        <w:rPr>
          <w:rFonts w:ascii="Calibri" w:hAnsi="Calibri" w:cs="Calibri"/>
        </w:rPr>
      </w:pPr>
      <w:r w:rsidRPr="00A634BF">
        <w:rPr>
          <w:rFonts w:ascii="Calibri" w:hAnsi="Calibri" w:cs="Calibri"/>
        </w:rPr>
        <w:t>CGT rates remain:</w:t>
      </w:r>
    </w:p>
    <w:p w14:paraId="3541C600" w14:textId="77777777" w:rsidR="00A634BF" w:rsidRPr="00A634BF" w:rsidRDefault="00A634BF" w:rsidP="00A634BF">
      <w:pPr>
        <w:pStyle w:val="loose"/>
        <w:numPr>
          <w:ilvl w:val="0"/>
          <w:numId w:val="6"/>
        </w:numPr>
        <w:shd w:val="clear" w:color="auto" w:fill="FFFFFF"/>
        <w:spacing w:before="0" w:beforeAutospacing="0" w:after="240" w:afterAutospacing="0" w:line="322" w:lineRule="atLeast"/>
        <w:textAlignment w:val="baseline"/>
        <w:rPr>
          <w:rFonts w:ascii="Calibri" w:hAnsi="Calibri" w:cs="Calibri"/>
        </w:rPr>
      </w:pPr>
      <w:r w:rsidRPr="00A634BF">
        <w:rPr>
          <w:rFonts w:ascii="Calibri" w:hAnsi="Calibri" w:cs="Calibri"/>
        </w:rPr>
        <w:t xml:space="preserve">at 10%, to the extent that any income tax basic rate band is available, </w:t>
      </w:r>
    </w:p>
    <w:p w14:paraId="6E1494FA" w14:textId="77777777" w:rsidR="00A634BF" w:rsidRPr="00A634BF" w:rsidRDefault="00A634BF" w:rsidP="00A634BF">
      <w:pPr>
        <w:pStyle w:val="loose"/>
        <w:numPr>
          <w:ilvl w:val="0"/>
          <w:numId w:val="6"/>
        </w:numPr>
        <w:shd w:val="clear" w:color="auto" w:fill="FFFFFF"/>
        <w:spacing w:before="0" w:beforeAutospacing="0" w:after="240" w:afterAutospacing="0" w:line="322" w:lineRule="atLeast"/>
        <w:textAlignment w:val="baseline"/>
        <w:rPr>
          <w:rFonts w:ascii="Calibri" w:hAnsi="Calibri" w:cs="Calibri"/>
        </w:rPr>
      </w:pPr>
      <w:r w:rsidRPr="00A634BF">
        <w:rPr>
          <w:rFonts w:ascii="Calibri" w:hAnsi="Calibri" w:cs="Calibri"/>
        </w:rPr>
        <w:t xml:space="preserve">and 20% thereafter. </w:t>
      </w:r>
    </w:p>
    <w:p w14:paraId="51C1D3D5" w14:textId="161F3DB6" w:rsidR="00A634BF" w:rsidRDefault="00A634BF" w:rsidP="00FF32C0">
      <w:pPr>
        <w:pStyle w:val="loose"/>
        <w:numPr>
          <w:ilvl w:val="0"/>
          <w:numId w:val="6"/>
        </w:numPr>
        <w:shd w:val="clear" w:color="auto" w:fill="FFFFFF"/>
        <w:spacing w:before="0" w:beforeAutospacing="0" w:after="240" w:afterAutospacing="0" w:line="322" w:lineRule="atLeast"/>
        <w:textAlignment w:val="baseline"/>
        <w:rPr>
          <w:rFonts w:ascii="Calibri" w:hAnsi="Calibri" w:cs="Calibri"/>
        </w:rPr>
      </w:pPr>
      <w:r w:rsidRPr="00A634BF">
        <w:rPr>
          <w:rFonts w:ascii="Calibri" w:hAnsi="Calibri" w:cs="Calibri"/>
        </w:rPr>
        <w:t>Higher rates of 18% and 28% apply for chargeable gains on residential properties with the exception of any element qualif</w:t>
      </w:r>
      <w:r w:rsidR="00E85FA9">
        <w:rPr>
          <w:rFonts w:ascii="Calibri" w:hAnsi="Calibri" w:cs="Calibri"/>
        </w:rPr>
        <w:t>ying</w:t>
      </w:r>
      <w:r w:rsidRPr="00A634BF">
        <w:rPr>
          <w:rFonts w:ascii="Calibri" w:hAnsi="Calibri" w:cs="Calibri"/>
        </w:rPr>
        <w:t xml:space="preserve"> for Private Residence Relief</w:t>
      </w:r>
      <w:r w:rsidR="00E85FA9">
        <w:rPr>
          <w:rFonts w:ascii="Calibri" w:hAnsi="Calibri" w:cs="Calibri"/>
        </w:rPr>
        <w:t xml:space="preserve"> (</w:t>
      </w:r>
      <w:hyperlink r:id="rId12" w:history="1">
        <w:r w:rsidR="00E85FA9" w:rsidRPr="00E85FA9">
          <w:rPr>
            <w:rStyle w:val="Hyperlink"/>
            <w:rFonts w:ascii="Calibri" w:hAnsi="Calibri" w:cs="Calibri"/>
          </w:rPr>
          <w:t>here</w:t>
        </w:r>
      </w:hyperlink>
      <w:r w:rsidR="00E85FA9">
        <w:rPr>
          <w:rFonts w:ascii="Calibri" w:hAnsi="Calibri" w:cs="Calibri"/>
        </w:rPr>
        <w:t>)</w:t>
      </w:r>
      <w:r w:rsidRPr="00A634BF">
        <w:rPr>
          <w:rFonts w:ascii="Calibri" w:hAnsi="Calibri" w:cs="Calibri"/>
        </w:rPr>
        <w:t xml:space="preserve">. </w:t>
      </w:r>
    </w:p>
    <w:p w14:paraId="55A95C3B" w14:textId="5DA0020C" w:rsidR="00A634BF" w:rsidRPr="00A634BF" w:rsidRDefault="00A634BF" w:rsidP="00A634BF">
      <w:pPr>
        <w:pStyle w:val="loose"/>
        <w:numPr>
          <w:ilvl w:val="0"/>
          <w:numId w:val="6"/>
        </w:numPr>
        <w:shd w:val="clear" w:color="auto" w:fill="FFFFFF"/>
        <w:spacing w:before="0" w:beforeAutospacing="0" w:after="240" w:afterAutospacing="0" w:line="322" w:lineRule="atLeast"/>
        <w:textAlignment w:val="baseline"/>
        <w:rPr>
          <w:rFonts w:ascii="Calibri" w:hAnsi="Calibri" w:cs="Calibri"/>
        </w:rPr>
      </w:pPr>
      <w:r w:rsidRPr="00A634BF">
        <w:rPr>
          <w:rFonts w:ascii="Calibri" w:hAnsi="Calibri" w:cs="Calibri"/>
        </w:rPr>
        <w:lastRenderedPageBreak/>
        <w:t>Types of disposal potentially qualifying for a 10% rate up to a lifetime limit for each individual:</w:t>
      </w:r>
    </w:p>
    <w:p w14:paraId="1BDE58AE" w14:textId="781BAE11" w:rsidR="00A634BF" w:rsidRPr="00A634BF" w:rsidRDefault="00A634BF" w:rsidP="00A634BF">
      <w:pPr>
        <w:pStyle w:val="loose"/>
        <w:shd w:val="clear" w:color="auto" w:fill="FFFFFF"/>
        <w:spacing w:before="0" w:beforeAutospacing="0" w:after="240" w:afterAutospacing="0" w:line="322" w:lineRule="atLeast"/>
        <w:ind w:left="720"/>
        <w:textAlignment w:val="baseline"/>
        <w:rPr>
          <w:rFonts w:ascii="Calibri" w:hAnsi="Calibri" w:cs="Calibri"/>
        </w:rPr>
      </w:pPr>
      <w:r w:rsidRPr="00A634BF">
        <w:rPr>
          <w:rFonts w:ascii="Calibri" w:hAnsi="Calibri" w:cs="Calibri"/>
        </w:rPr>
        <w:t>• Business Asset Disposal Relief (BADR) (</w:t>
      </w:r>
      <w:r>
        <w:rPr>
          <w:rFonts w:ascii="Calibri" w:hAnsi="Calibri" w:cs="Calibri"/>
        </w:rPr>
        <w:t>previously</w:t>
      </w:r>
      <w:r w:rsidRPr="00A634BF">
        <w:rPr>
          <w:rFonts w:ascii="Calibri" w:hAnsi="Calibri" w:cs="Calibri"/>
        </w:rPr>
        <w:t xml:space="preserve"> Entrepreneurs’ Relief</w:t>
      </w:r>
      <w:r>
        <w:rPr>
          <w:rFonts w:ascii="Calibri" w:hAnsi="Calibri" w:cs="Calibri"/>
        </w:rPr>
        <w:t>)</w:t>
      </w:r>
      <w:r w:rsidRPr="00A634BF">
        <w:rPr>
          <w:rFonts w:ascii="Calibri" w:hAnsi="Calibri" w:cs="Calibri"/>
        </w:rPr>
        <w:t xml:space="preserve"> targeted at directors and employees of companies who own at least 5% of the ordinary share capital in the company, provided other minimum criteria are also met, and the owners of unincorporated businesses</w:t>
      </w:r>
      <w:r>
        <w:rPr>
          <w:rFonts w:ascii="Calibri" w:hAnsi="Calibri" w:cs="Calibri"/>
        </w:rPr>
        <w:t xml:space="preserve"> including LLPs/partnerships</w:t>
      </w:r>
      <w:r w:rsidRPr="00A634BF">
        <w:rPr>
          <w:rFonts w:ascii="Calibri" w:hAnsi="Calibri" w:cs="Calibri"/>
        </w:rPr>
        <w:t>. The lifetime limit for BADR was reduced from £10 million to £1 million for BADR qualifying disposals made on or after 11 March 2020.</w:t>
      </w:r>
    </w:p>
    <w:p w14:paraId="36ABE867" w14:textId="478F3480" w:rsidR="00A634BF" w:rsidRDefault="00A634BF" w:rsidP="00A634BF">
      <w:pPr>
        <w:pStyle w:val="loose"/>
        <w:shd w:val="clear" w:color="auto" w:fill="FFFFFF"/>
        <w:spacing w:before="0" w:beforeAutospacing="0" w:after="240" w:afterAutospacing="0" w:line="322" w:lineRule="atLeast"/>
        <w:ind w:left="720"/>
        <w:textAlignment w:val="baseline"/>
        <w:rPr>
          <w:rFonts w:ascii="Calibri" w:hAnsi="Calibri" w:cs="Calibri"/>
        </w:rPr>
      </w:pPr>
      <w:r w:rsidRPr="00A634BF">
        <w:rPr>
          <w:rFonts w:ascii="Calibri" w:hAnsi="Calibri" w:cs="Calibri"/>
        </w:rPr>
        <w:t>• Investors’ Relief</w:t>
      </w:r>
      <w:r>
        <w:rPr>
          <w:rFonts w:ascii="Calibri" w:hAnsi="Calibri" w:cs="Calibri"/>
        </w:rPr>
        <w:t xml:space="preserve"> is available to</w:t>
      </w:r>
      <w:r w:rsidRPr="00A634BF">
        <w:rPr>
          <w:rFonts w:ascii="Calibri" w:hAnsi="Calibri" w:cs="Calibri"/>
        </w:rPr>
        <w:t xml:space="preserve"> external investors in unquoted trading companies who have newly-subscribed shares. Investors’ Relief lifetime limit </w:t>
      </w:r>
      <w:r>
        <w:rPr>
          <w:rFonts w:ascii="Calibri" w:hAnsi="Calibri" w:cs="Calibri"/>
        </w:rPr>
        <w:t>is</w:t>
      </w:r>
      <w:r w:rsidRPr="00A634BF">
        <w:rPr>
          <w:rFonts w:ascii="Calibri" w:hAnsi="Calibri" w:cs="Calibri"/>
        </w:rPr>
        <w:t xml:space="preserve"> £10 million.</w:t>
      </w:r>
    </w:p>
    <w:p w14:paraId="2CDC625D" w14:textId="0B2E922C" w:rsidR="00FF32C0" w:rsidRPr="00096D46" w:rsidRDefault="00FF32C0" w:rsidP="00FF32C0">
      <w:pPr>
        <w:pStyle w:val="loose"/>
        <w:shd w:val="clear" w:color="auto" w:fill="FFFFFF"/>
        <w:spacing w:before="0" w:beforeAutospacing="0" w:after="240" w:afterAutospacing="0" w:line="322" w:lineRule="atLeast"/>
        <w:textAlignment w:val="baseline"/>
        <w:rPr>
          <w:rFonts w:asciiTheme="minorHAnsi" w:hAnsiTheme="minorHAnsi" w:cstheme="minorHAnsi"/>
          <w:b/>
          <w:bCs/>
          <w:color w:val="333333"/>
        </w:rPr>
      </w:pPr>
      <w:r w:rsidRPr="00096D46">
        <w:rPr>
          <w:rFonts w:asciiTheme="minorHAnsi" w:hAnsiTheme="minorHAnsi" w:cstheme="minorHAnsi"/>
          <w:b/>
          <w:bCs/>
          <w:color w:val="333333"/>
        </w:rPr>
        <w:t>Inheritance tax</w:t>
      </w:r>
    </w:p>
    <w:p w14:paraId="3F923353" w14:textId="68DE7483" w:rsidR="00344233" w:rsidRPr="00E85FA9" w:rsidRDefault="00344233" w:rsidP="00344233">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E85FA9">
        <w:rPr>
          <w:rFonts w:asciiTheme="minorHAnsi" w:hAnsiTheme="minorHAnsi" w:cstheme="minorHAnsi"/>
          <w:color w:val="333333"/>
        </w:rPr>
        <w:t xml:space="preserve">Inheritance tax thresholds and rates </w:t>
      </w:r>
      <w:r w:rsidR="00E85FA9" w:rsidRPr="00E85FA9">
        <w:rPr>
          <w:rFonts w:asciiTheme="minorHAnsi" w:hAnsiTheme="minorHAnsi" w:cstheme="minorHAnsi"/>
        </w:rPr>
        <w:t xml:space="preserve">have been frozen at £325,000 until 5 April 2026. An additional residence nil rate band (RNRB) of £175,000, for deaths in 2021 will also be frozen until 5 April 2026. A taper (unchanged) reduces the amount of the RNRB by £1 for every £2 that the ‘net’ value of the death estate exceeds £2 million. The net value is after deducting permitted liabilities but before exemptions and reliefs. </w:t>
      </w:r>
    </w:p>
    <w:p w14:paraId="706D9D50" w14:textId="4448574D" w:rsidR="00FF32C0" w:rsidRPr="008F494C" w:rsidRDefault="00FF32C0" w:rsidP="00FF32C0">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Individual savings accounts and Child trust funds</w:t>
      </w:r>
    </w:p>
    <w:p w14:paraId="3839078A" w14:textId="3BF3FD37" w:rsidR="00FF32C0" w:rsidRDefault="00FF32C0" w:rsidP="00FF32C0">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The ISA, Junior ISA and Child Trust Fund limits remain unchanged for 2022.</w:t>
      </w:r>
    </w:p>
    <w:p w14:paraId="3844BA9D" w14:textId="77777777" w:rsidR="00D85AED" w:rsidRPr="00D85AED" w:rsidRDefault="00D85AED" w:rsidP="00D85AED">
      <w:pPr>
        <w:pStyle w:val="loose"/>
        <w:shd w:val="clear" w:color="auto" w:fill="FFFFFF"/>
        <w:spacing w:before="0" w:beforeAutospacing="0" w:after="240" w:afterAutospacing="0" w:line="322" w:lineRule="atLeast"/>
        <w:textAlignment w:val="baseline"/>
        <w:rPr>
          <w:rFonts w:asciiTheme="minorHAnsi" w:hAnsiTheme="minorHAnsi" w:cstheme="minorHAnsi"/>
          <w:b/>
          <w:bCs/>
        </w:rPr>
      </w:pPr>
      <w:r w:rsidRPr="00D85AED">
        <w:rPr>
          <w:rFonts w:asciiTheme="minorHAnsi" w:hAnsiTheme="minorHAnsi" w:cstheme="minorHAnsi"/>
          <w:b/>
          <w:bCs/>
        </w:rPr>
        <w:t xml:space="preserve">Mortgage guarantee scheme </w:t>
      </w:r>
    </w:p>
    <w:p w14:paraId="3FB7F9C5" w14:textId="10B879C9" w:rsidR="00D85AED" w:rsidRDefault="00D85AED" w:rsidP="00D85AED">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8F494C">
        <w:rPr>
          <w:rFonts w:asciiTheme="minorHAnsi" w:hAnsiTheme="minorHAnsi" w:cstheme="minorHAnsi"/>
        </w:rPr>
        <w:t xml:space="preserve">The government </w:t>
      </w:r>
      <w:r w:rsidR="00057FAC">
        <w:rPr>
          <w:rFonts w:asciiTheme="minorHAnsi" w:hAnsiTheme="minorHAnsi" w:cstheme="minorHAnsi"/>
        </w:rPr>
        <w:t>are</w:t>
      </w:r>
      <w:r w:rsidRPr="008F494C">
        <w:rPr>
          <w:rFonts w:asciiTheme="minorHAnsi" w:hAnsiTheme="minorHAnsi" w:cstheme="minorHAnsi"/>
        </w:rPr>
        <w:t xml:space="preserve"> introduc</w:t>
      </w:r>
      <w:r w:rsidR="00057FAC">
        <w:rPr>
          <w:rFonts w:asciiTheme="minorHAnsi" w:hAnsiTheme="minorHAnsi" w:cstheme="minorHAnsi"/>
        </w:rPr>
        <w:t>ing</w:t>
      </w:r>
      <w:r w:rsidRPr="008F494C">
        <w:rPr>
          <w:rFonts w:asciiTheme="minorHAnsi" w:hAnsiTheme="minorHAnsi" w:cstheme="minorHAnsi"/>
        </w:rPr>
        <w:t xml:space="preserve"> a new mortgage guarantee scheme </w:t>
      </w:r>
      <w:r w:rsidR="00057FAC">
        <w:rPr>
          <w:rFonts w:asciiTheme="minorHAnsi" w:hAnsiTheme="minorHAnsi" w:cstheme="minorHAnsi"/>
        </w:rPr>
        <w:t>with effect from</w:t>
      </w:r>
      <w:r w:rsidRPr="008F494C">
        <w:rPr>
          <w:rFonts w:asciiTheme="minorHAnsi" w:hAnsiTheme="minorHAnsi" w:cstheme="minorHAnsi"/>
        </w:rPr>
        <w:t xml:space="preserve"> April 2021</w:t>
      </w:r>
      <w:r>
        <w:rPr>
          <w:rFonts w:asciiTheme="minorHAnsi" w:hAnsiTheme="minorHAnsi" w:cstheme="minorHAnsi"/>
        </w:rPr>
        <w:t xml:space="preserve"> </w:t>
      </w:r>
      <w:r w:rsidR="00057FAC">
        <w:rPr>
          <w:rFonts w:asciiTheme="minorHAnsi" w:hAnsiTheme="minorHAnsi" w:cstheme="minorHAnsi"/>
        </w:rPr>
        <w:t>which offers a</w:t>
      </w:r>
      <w:r w:rsidRPr="008F494C">
        <w:rPr>
          <w:rFonts w:asciiTheme="minorHAnsi" w:hAnsiTheme="minorHAnsi" w:cstheme="minorHAnsi"/>
        </w:rPr>
        <w:t xml:space="preserve"> guarantee to lenders across the UK who offer mortgages to </w:t>
      </w:r>
      <w:r w:rsidR="00057FAC">
        <w:rPr>
          <w:rFonts w:asciiTheme="minorHAnsi" w:hAnsiTheme="minorHAnsi" w:cstheme="minorHAnsi"/>
        </w:rPr>
        <w:t>individuals</w:t>
      </w:r>
      <w:r w:rsidRPr="008F494C">
        <w:rPr>
          <w:rFonts w:asciiTheme="minorHAnsi" w:hAnsiTheme="minorHAnsi" w:cstheme="minorHAnsi"/>
        </w:rPr>
        <w:t xml:space="preserve"> with a deposit of </w:t>
      </w:r>
      <w:r w:rsidR="00057FAC">
        <w:rPr>
          <w:rFonts w:asciiTheme="minorHAnsi" w:hAnsiTheme="minorHAnsi" w:cstheme="minorHAnsi"/>
        </w:rPr>
        <w:t xml:space="preserve">only </w:t>
      </w:r>
      <w:r w:rsidRPr="008F494C">
        <w:rPr>
          <w:rFonts w:asciiTheme="minorHAnsi" w:hAnsiTheme="minorHAnsi" w:cstheme="minorHAnsi"/>
        </w:rPr>
        <w:t xml:space="preserve">5% on homes </w:t>
      </w:r>
      <w:r w:rsidR="00057FAC">
        <w:rPr>
          <w:rFonts w:asciiTheme="minorHAnsi" w:hAnsiTheme="minorHAnsi" w:cstheme="minorHAnsi"/>
        </w:rPr>
        <w:t>demonstrating</w:t>
      </w:r>
      <w:r w:rsidRPr="008F494C">
        <w:rPr>
          <w:rFonts w:asciiTheme="minorHAnsi" w:hAnsiTheme="minorHAnsi" w:cstheme="minorHAnsi"/>
        </w:rPr>
        <w:t xml:space="preserve"> a value up to £600,000. Under the scheme, buyers </w:t>
      </w:r>
      <w:r w:rsidR="00057FAC">
        <w:rPr>
          <w:rFonts w:asciiTheme="minorHAnsi" w:hAnsiTheme="minorHAnsi" w:cstheme="minorHAnsi"/>
        </w:rPr>
        <w:t>are able</w:t>
      </w:r>
      <w:r w:rsidRPr="008F494C">
        <w:rPr>
          <w:rFonts w:asciiTheme="minorHAnsi" w:hAnsiTheme="minorHAnsi" w:cstheme="minorHAnsi"/>
        </w:rPr>
        <w:t xml:space="preserve"> to fix initial mortgage interest rate</w:t>
      </w:r>
      <w:r w:rsidR="00057FAC">
        <w:rPr>
          <w:rFonts w:asciiTheme="minorHAnsi" w:hAnsiTheme="minorHAnsi" w:cstheme="minorHAnsi"/>
        </w:rPr>
        <w:t>s</w:t>
      </w:r>
      <w:r w:rsidRPr="008F494C">
        <w:rPr>
          <w:rFonts w:asciiTheme="minorHAnsi" w:hAnsiTheme="minorHAnsi" w:cstheme="minorHAnsi"/>
        </w:rPr>
        <w:t xml:space="preserve"> for at least five years</w:t>
      </w:r>
      <w:r w:rsidR="00057FAC">
        <w:rPr>
          <w:rFonts w:asciiTheme="minorHAnsi" w:hAnsiTheme="minorHAnsi" w:cstheme="minorHAnsi"/>
        </w:rPr>
        <w:t>, affording the opportunity to budget</w:t>
      </w:r>
      <w:r w:rsidRPr="008F494C">
        <w:rPr>
          <w:rFonts w:asciiTheme="minorHAnsi" w:hAnsiTheme="minorHAnsi" w:cstheme="minorHAnsi"/>
        </w:rPr>
        <w:t>. The scheme, which will be available for new mortgages up to 31 December 2022, is designed to increase the availability of mortgages on new or existing properties for those with small deposits</w:t>
      </w:r>
      <w:r w:rsidR="00057FAC">
        <w:rPr>
          <w:rFonts w:asciiTheme="minorHAnsi" w:hAnsiTheme="minorHAnsi" w:cstheme="minorHAnsi"/>
        </w:rPr>
        <w:t xml:space="preserve"> and is particularly encouraging for younger investors</w:t>
      </w:r>
      <w:r w:rsidRPr="008F494C">
        <w:rPr>
          <w:rFonts w:asciiTheme="minorHAnsi" w:hAnsiTheme="minorHAnsi" w:cstheme="minorHAnsi"/>
        </w:rPr>
        <w:t>.</w:t>
      </w:r>
    </w:p>
    <w:p w14:paraId="0FF5C127" w14:textId="77777777" w:rsidR="00D85AED" w:rsidRPr="008F494C" w:rsidRDefault="00D85AED" w:rsidP="00D85AED">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SDLT</w:t>
      </w:r>
    </w:p>
    <w:p w14:paraId="61FFACB0" w14:textId="5B209DD8" w:rsidR="00D85AED" w:rsidRDefault="00D85AED" w:rsidP="00D85AED">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The temporary increase in the SDLT nil rate band for residential property in England and Northern Ireland that was due to end on 31 March 2021 will be extended. The nil rate band will continue to be £500,000 for the period 8 July 2020 to 30 June 2021. From 1 July 2021 until 30 September 2021 it will be £250,000 and it will return to the standard amount of £125,000 from 1 October 2021.</w:t>
      </w:r>
    </w:p>
    <w:p w14:paraId="6DB1D1F8" w14:textId="77777777" w:rsidR="00867FD5" w:rsidRDefault="00867FD5" w:rsidP="00D85AED">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p>
    <w:p w14:paraId="455DB198" w14:textId="77777777" w:rsidR="00867FD5" w:rsidRDefault="00867FD5" w:rsidP="00D85AED">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p>
    <w:p w14:paraId="73F8120A" w14:textId="77777777" w:rsidR="00867FD5" w:rsidRDefault="00867FD5" w:rsidP="00D85AED">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p>
    <w:p w14:paraId="345BAAF2" w14:textId="77777777" w:rsidR="00867FD5" w:rsidRDefault="00867FD5" w:rsidP="00D85AED">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p>
    <w:p w14:paraId="0D544475" w14:textId="0ED8F5D5" w:rsidR="00867FD5" w:rsidRDefault="00867FD5" w:rsidP="00D85AED">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England &amp; NI Rates differ in Scotland &amp; Wales</w:t>
      </w:r>
    </w:p>
    <w:tbl>
      <w:tblPr>
        <w:tblStyle w:val="TableGrid"/>
        <w:tblW w:w="0" w:type="auto"/>
        <w:tblLook w:val="04A0" w:firstRow="1" w:lastRow="0" w:firstColumn="1" w:lastColumn="0" w:noHBand="0" w:noVBand="1"/>
      </w:tblPr>
      <w:tblGrid>
        <w:gridCol w:w="2206"/>
        <w:gridCol w:w="887"/>
        <w:gridCol w:w="2355"/>
        <w:gridCol w:w="887"/>
      </w:tblGrid>
      <w:tr w:rsidR="00867FD5" w14:paraId="7DEF02BE" w14:textId="77777777" w:rsidTr="00867FD5">
        <w:tc>
          <w:tcPr>
            <w:tcW w:w="0" w:type="auto"/>
          </w:tcPr>
          <w:p w14:paraId="5D1B63C1" w14:textId="5FCB0009"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Residential band £</w:t>
            </w:r>
          </w:p>
        </w:tc>
        <w:tc>
          <w:tcPr>
            <w:tcW w:w="0" w:type="auto"/>
          </w:tcPr>
          <w:p w14:paraId="7ECEDCDE" w14:textId="52E79BCC"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Rate %</w:t>
            </w:r>
          </w:p>
        </w:tc>
        <w:tc>
          <w:tcPr>
            <w:tcW w:w="0" w:type="auto"/>
          </w:tcPr>
          <w:p w14:paraId="60FC3738" w14:textId="085B931C"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Non-residential rate £</w:t>
            </w:r>
          </w:p>
        </w:tc>
        <w:tc>
          <w:tcPr>
            <w:tcW w:w="0" w:type="auto"/>
          </w:tcPr>
          <w:p w14:paraId="46DF41E0" w14:textId="3F50A46A"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Rate %</w:t>
            </w:r>
          </w:p>
        </w:tc>
      </w:tr>
      <w:tr w:rsidR="00867FD5" w14:paraId="68343007" w14:textId="77777777" w:rsidTr="00867FD5">
        <w:tc>
          <w:tcPr>
            <w:tcW w:w="0" w:type="auto"/>
          </w:tcPr>
          <w:p w14:paraId="55492118" w14:textId="3BB9D317" w:rsidR="00867FD5" w:rsidRDefault="00867FD5" w:rsidP="00867FD5">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0 - 500,000*</w:t>
            </w:r>
          </w:p>
        </w:tc>
        <w:tc>
          <w:tcPr>
            <w:tcW w:w="0" w:type="auto"/>
          </w:tcPr>
          <w:p w14:paraId="7187691C" w14:textId="4CB62259"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0</w:t>
            </w:r>
          </w:p>
        </w:tc>
        <w:tc>
          <w:tcPr>
            <w:tcW w:w="0" w:type="auto"/>
          </w:tcPr>
          <w:p w14:paraId="72D85DBE" w14:textId="24282863"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0 - 150,000</w:t>
            </w:r>
          </w:p>
        </w:tc>
        <w:tc>
          <w:tcPr>
            <w:tcW w:w="0" w:type="auto"/>
          </w:tcPr>
          <w:p w14:paraId="7191248D" w14:textId="69C0A396"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0</w:t>
            </w:r>
          </w:p>
        </w:tc>
      </w:tr>
      <w:tr w:rsidR="00867FD5" w14:paraId="53E17D05" w14:textId="77777777" w:rsidTr="00867FD5">
        <w:tc>
          <w:tcPr>
            <w:tcW w:w="0" w:type="auto"/>
          </w:tcPr>
          <w:p w14:paraId="352371A8" w14:textId="4C7DC530"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501,000 – 925,000</w:t>
            </w:r>
          </w:p>
        </w:tc>
        <w:tc>
          <w:tcPr>
            <w:tcW w:w="0" w:type="auto"/>
          </w:tcPr>
          <w:p w14:paraId="2BCC1033" w14:textId="0250884D"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5</w:t>
            </w:r>
          </w:p>
        </w:tc>
        <w:tc>
          <w:tcPr>
            <w:tcW w:w="0" w:type="auto"/>
          </w:tcPr>
          <w:p w14:paraId="4E964A05" w14:textId="6A762FF0"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 xml:space="preserve">150,001 - </w:t>
            </w:r>
          </w:p>
        </w:tc>
        <w:tc>
          <w:tcPr>
            <w:tcW w:w="0" w:type="auto"/>
          </w:tcPr>
          <w:p w14:paraId="76A28551" w14:textId="1E5090CE"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2</w:t>
            </w:r>
          </w:p>
        </w:tc>
      </w:tr>
      <w:tr w:rsidR="00867FD5" w14:paraId="708746F1" w14:textId="77777777" w:rsidTr="00867FD5">
        <w:tc>
          <w:tcPr>
            <w:tcW w:w="0" w:type="auto"/>
          </w:tcPr>
          <w:p w14:paraId="0C8607C1" w14:textId="515AFDBF"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925,001 – 1,500,000</w:t>
            </w:r>
          </w:p>
        </w:tc>
        <w:tc>
          <w:tcPr>
            <w:tcW w:w="0" w:type="auto"/>
          </w:tcPr>
          <w:p w14:paraId="0CE42FEA" w14:textId="4B072E28"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10</w:t>
            </w:r>
          </w:p>
        </w:tc>
        <w:tc>
          <w:tcPr>
            <w:tcW w:w="0" w:type="auto"/>
          </w:tcPr>
          <w:p w14:paraId="290ECB59" w14:textId="0CF7123E"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Over £250,000</w:t>
            </w:r>
          </w:p>
        </w:tc>
        <w:tc>
          <w:tcPr>
            <w:tcW w:w="0" w:type="auto"/>
          </w:tcPr>
          <w:p w14:paraId="379BD6AC" w14:textId="13CFE41D"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5</w:t>
            </w:r>
          </w:p>
        </w:tc>
      </w:tr>
      <w:tr w:rsidR="00867FD5" w14:paraId="6D545170" w14:textId="77777777" w:rsidTr="00867FD5">
        <w:tc>
          <w:tcPr>
            <w:tcW w:w="0" w:type="auto"/>
          </w:tcPr>
          <w:p w14:paraId="10B9902D" w14:textId="38BD8EEB"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1,500,001</w:t>
            </w:r>
          </w:p>
        </w:tc>
        <w:tc>
          <w:tcPr>
            <w:tcW w:w="0" w:type="auto"/>
          </w:tcPr>
          <w:p w14:paraId="39DCD54E" w14:textId="44EA40B1"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12</w:t>
            </w:r>
          </w:p>
        </w:tc>
        <w:tc>
          <w:tcPr>
            <w:tcW w:w="0" w:type="auto"/>
          </w:tcPr>
          <w:p w14:paraId="67EFEBB3" w14:textId="77777777"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p>
        </w:tc>
        <w:tc>
          <w:tcPr>
            <w:tcW w:w="0" w:type="auto"/>
          </w:tcPr>
          <w:p w14:paraId="7A320E1C" w14:textId="77777777" w:rsidR="00867FD5" w:rsidRDefault="00867FD5" w:rsidP="00D85AED">
            <w:pPr>
              <w:pStyle w:val="loose"/>
              <w:spacing w:before="0" w:beforeAutospacing="0" w:after="240" w:afterAutospacing="0" w:line="322" w:lineRule="atLeast"/>
              <w:textAlignment w:val="baseline"/>
              <w:rPr>
                <w:rFonts w:asciiTheme="minorHAnsi" w:hAnsiTheme="minorHAnsi" w:cstheme="minorHAnsi"/>
                <w:color w:val="333333"/>
              </w:rPr>
            </w:pPr>
          </w:p>
        </w:tc>
      </w:tr>
    </w:tbl>
    <w:p w14:paraId="3CA01005" w14:textId="34ABD60D" w:rsidR="00867FD5" w:rsidRPr="00867FD5" w:rsidRDefault="00867FD5" w:rsidP="00D85AED">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67FD5">
        <w:rPr>
          <w:rFonts w:asciiTheme="minorHAnsi" w:hAnsiTheme="minorHAnsi" w:cstheme="minorHAnsi"/>
        </w:rPr>
        <w:t>*£250,000 from 1 July 2021. From 1 October 2021, 0% up to £125,000, 2% from £125,001 - £250,000 and 5% from £250,001 - £925,000.</w:t>
      </w:r>
    </w:p>
    <w:p w14:paraId="64639EB4" w14:textId="3745832A" w:rsidR="00915579" w:rsidRPr="00915579" w:rsidRDefault="00915579" w:rsidP="00D85AED">
      <w:pPr>
        <w:pStyle w:val="loose"/>
        <w:shd w:val="clear" w:color="auto" w:fill="FFFFFF"/>
        <w:spacing w:before="0" w:beforeAutospacing="0" w:after="240" w:afterAutospacing="0" w:line="322" w:lineRule="atLeast"/>
        <w:textAlignment w:val="baseline"/>
        <w:rPr>
          <w:rFonts w:asciiTheme="minorHAnsi" w:hAnsiTheme="minorHAnsi" w:cstheme="minorHAnsi"/>
          <w:b/>
          <w:bCs/>
        </w:rPr>
      </w:pPr>
      <w:r w:rsidRPr="00915579">
        <w:rPr>
          <w:rFonts w:asciiTheme="minorHAnsi" w:hAnsiTheme="minorHAnsi" w:cstheme="minorHAnsi"/>
          <w:b/>
          <w:bCs/>
        </w:rPr>
        <w:t xml:space="preserve">Contactless payment  </w:t>
      </w:r>
    </w:p>
    <w:p w14:paraId="57579DA5" w14:textId="2D70B3C6" w:rsidR="00915579" w:rsidRDefault="00915579" w:rsidP="00D85AED">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915579">
        <w:rPr>
          <w:rFonts w:asciiTheme="minorHAnsi" w:hAnsiTheme="minorHAnsi" w:cstheme="minorHAnsi"/>
        </w:rPr>
        <w:t xml:space="preserve">Following a public consultation by the Financial Conduct Authority, the government has approved an increase to the legal contactless payment limits previously set by the European Commission. This will allow banks to support single contactless payments up to £100, and cumulative contactless payments up to £300, without the need for customers to </w:t>
      </w:r>
      <w:r>
        <w:rPr>
          <w:rFonts w:asciiTheme="minorHAnsi" w:hAnsiTheme="minorHAnsi" w:cstheme="minorHAnsi"/>
        </w:rPr>
        <w:t>tap in</w:t>
      </w:r>
      <w:r w:rsidRPr="00915579">
        <w:rPr>
          <w:rFonts w:asciiTheme="minorHAnsi" w:hAnsiTheme="minorHAnsi" w:cstheme="minorHAnsi"/>
        </w:rPr>
        <w:t xml:space="preserve"> their </w:t>
      </w:r>
      <w:r>
        <w:rPr>
          <w:rFonts w:asciiTheme="minorHAnsi" w:hAnsiTheme="minorHAnsi" w:cstheme="minorHAnsi"/>
        </w:rPr>
        <w:t>PIN</w:t>
      </w:r>
      <w:r w:rsidRPr="00915579">
        <w:rPr>
          <w:rFonts w:asciiTheme="minorHAnsi" w:hAnsiTheme="minorHAnsi" w:cstheme="minorHAnsi"/>
        </w:rPr>
        <w:t>.</w:t>
      </w:r>
      <w:r>
        <w:rPr>
          <w:rFonts w:asciiTheme="minorHAnsi" w:hAnsiTheme="minorHAnsi" w:cstheme="minorHAnsi"/>
        </w:rPr>
        <w:t xml:space="preserve"> This is likely to happen later in the year as there are some practical considerations for financial institutions.</w:t>
      </w:r>
    </w:p>
    <w:p w14:paraId="7FD608FF" w14:textId="3BE575C4" w:rsidR="00FF32C0" w:rsidRDefault="00FF32C0" w:rsidP="00FF32C0">
      <w:pPr>
        <w:pStyle w:val="loose"/>
        <w:shd w:val="clear" w:color="auto" w:fill="FFFFFF"/>
        <w:spacing w:before="0" w:beforeAutospacing="0" w:after="0" w:afterAutospacing="0" w:line="322" w:lineRule="atLeast"/>
        <w:textAlignment w:val="baseline"/>
        <w:rPr>
          <w:rStyle w:val="bold"/>
          <w:rFonts w:asciiTheme="minorHAnsi" w:hAnsiTheme="minorHAnsi" w:cstheme="minorHAnsi"/>
          <w:b/>
          <w:bCs/>
          <w:color w:val="444444"/>
          <w:bdr w:val="none" w:sz="0" w:space="0" w:color="auto" w:frame="1"/>
        </w:rPr>
      </w:pPr>
      <w:r w:rsidRPr="008F494C">
        <w:rPr>
          <w:rStyle w:val="bold"/>
          <w:rFonts w:asciiTheme="minorHAnsi" w:hAnsiTheme="minorHAnsi" w:cstheme="minorHAnsi"/>
          <w:b/>
          <w:bCs/>
          <w:color w:val="444444"/>
          <w:bdr w:val="none" w:sz="0" w:space="0" w:color="auto" w:frame="1"/>
        </w:rPr>
        <w:t>BUSINESS TAX</w:t>
      </w:r>
    </w:p>
    <w:p w14:paraId="6CE3B7DE" w14:textId="77777777" w:rsidR="00E17543" w:rsidRPr="008F494C" w:rsidRDefault="00E17543" w:rsidP="00FF32C0">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p>
    <w:p w14:paraId="51242954" w14:textId="77777777" w:rsidR="00FF32C0" w:rsidRPr="008F494C" w:rsidRDefault="00FF32C0" w:rsidP="00FF32C0">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Corporation tax rates</w:t>
      </w:r>
    </w:p>
    <w:p w14:paraId="5F31143A" w14:textId="3A5A521F" w:rsidR="00FF32C0" w:rsidRDefault="00FF32C0" w:rsidP="00057FAC">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xml:space="preserve">As widely anticipated the Chancellor announced an increase in the rate of corporation tax </w:t>
      </w:r>
      <w:r w:rsidR="00057FAC">
        <w:rPr>
          <w:rFonts w:asciiTheme="minorHAnsi" w:hAnsiTheme="minorHAnsi" w:cstheme="minorHAnsi"/>
          <w:color w:val="333333"/>
        </w:rPr>
        <w:t>with effect</w:t>
      </w:r>
      <w:r w:rsidRPr="008F494C">
        <w:rPr>
          <w:rFonts w:asciiTheme="minorHAnsi" w:hAnsiTheme="minorHAnsi" w:cstheme="minorHAnsi"/>
          <w:color w:val="333333"/>
        </w:rPr>
        <w:t xml:space="preserve"> from 1 April 2023</w:t>
      </w:r>
      <w:r w:rsidR="00057FAC">
        <w:rPr>
          <w:rFonts w:asciiTheme="minorHAnsi" w:hAnsiTheme="minorHAnsi" w:cstheme="minorHAnsi"/>
          <w:color w:val="333333"/>
        </w:rPr>
        <w:t>. T</w:t>
      </w:r>
      <w:r w:rsidRPr="008F494C">
        <w:rPr>
          <w:rFonts w:asciiTheme="minorHAnsi" w:hAnsiTheme="minorHAnsi" w:cstheme="minorHAnsi"/>
          <w:color w:val="333333"/>
        </w:rPr>
        <w:t xml:space="preserve">his rate will increase </w:t>
      </w:r>
      <w:r w:rsidR="00057FAC">
        <w:rPr>
          <w:rFonts w:asciiTheme="minorHAnsi" w:hAnsiTheme="minorHAnsi" w:cstheme="minorHAnsi"/>
          <w:color w:val="333333"/>
        </w:rPr>
        <w:t xml:space="preserve">from 19% </w:t>
      </w:r>
      <w:r w:rsidRPr="008F494C">
        <w:rPr>
          <w:rFonts w:asciiTheme="minorHAnsi" w:hAnsiTheme="minorHAnsi" w:cstheme="minorHAnsi"/>
          <w:color w:val="333333"/>
        </w:rPr>
        <w:t xml:space="preserve">to 25% for companies with profits </w:t>
      </w:r>
      <w:r w:rsidR="00057FAC">
        <w:rPr>
          <w:rFonts w:asciiTheme="minorHAnsi" w:hAnsiTheme="minorHAnsi" w:cstheme="minorHAnsi"/>
          <w:color w:val="333333"/>
        </w:rPr>
        <w:t>exceeding</w:t>
      </w:r>
      <w:r w:rsidRPr="008F494C">
        <w:rPr>
          <w:rFonts w:asciiTheme="minorHAnsi" w:hAnsiTheme="minorHAnsi" w:cstheme="minorHAnsi"/>
          <w:color w:val="333333"/>
        </w:rPr>
        <w:t xml:space="preserve"> £250,000. Companies with profits of </w:t>
      </w:r>
      <w:r w:rsidR="00057FAC">
        <w:rPr>
          <w:rFonts w:asciiTheme="minorHAnsi" w:hAnsiTheme="minorHAnsi" w:cstheme="minorHAnsi"/>
          <w:color w:val="333333"/>
        </w:rPr>
        <w:t xml:space="preserve">less than </w:t>
      </w:r>
      <w:r w:rsidRPr="008F494C">
        <w:rPr>
          <w:rFonts w:asciiTheme="minorHAnsi" w:hAnsiTheme="minorHAnsi" w:cstheme="minorHAnsi"/>
          <w:color w:val="333333"/>
        </w:rPr>
        <w:t xml:space="preserve">£50,000 will continue to be taxed at 19%. Where profits fall </w:t>
      </w:r>
      <w:r w:rsidR="00057FAC">
        <w:rPr>
          <w:rFonts w:asciiTheme="minorHAnsi" w:hAnsiTheme="minorHAnsi" w:cstheme="minorHAnsi"/>
          <w:color w:val="333333"/>
        </w:rPr>
        <w:t xml:space="preserve">in </w:t>
      </w:r>
      <w:r w:rsidRPr="008F494C">
        <w:rPr>
          <w:rFonts w:asciiTheme="minorHAnsi" w:hAnsiTheme="minorHAnsi" w:cstheme="minorHAnsi"/>
          <w:color w:val="333333"/>
        </w:rPr>
        <w:t xml:space="preserve">between £50,000 and £250,000, the </w:t>
      </w:r>
      <w:r w:rsidR="00057FAC">
        <w:rPr>
          <w:rFonts w:asciiTheme="minorHAnsi" w:hAnsiTheme="minorHAnsi" w:cstheme="minorHAnsi"/>
          <w:color w:val="333333"/>
        </w:rPr>
        <w:t xml:space="preserve">headline </w:t>
      </w:r>
      <w:r w:rsidRPr="008F494C">
        <w:rPr>
          <w:rFonts w:asciiTheme="minorHAnsi" w:hAnsiTheme="minorHAnsi" w:cstheme="minorHAnsi"/>
          <w:color w:val="333333"/>
        </w:rPr>
        <w:t xml:space="preserve">tax rate </w:t>
      </w:r>
      <w:r w:rsidR="00057FAC">
        <w:rPr>
          <w:rFonts w:asciiTheme="minorHAnsi" w:hAnsiTheme="minorHAnsi" w:cstheme="minorHAnsi"/>
          <w:color w:val="333333"/>
        </w:rPr>
        <w:t xml:space="preserve">applied </w:t>
      </w:r>
      <w:r w:rsidRPr="008F494C">
        <w:rPr>
          <w:rFonts w:asciiTheme="minorHAnsi" w:hAnsiTheme="minorHAnsi" w:cstheme="minorHAnsi"/>
          <w:color w:val="333333"/>
        </w:rPr>
        <w:t>will be 25% but marginal relief</w:t>
      </w:r>
      <w:r w:rsidR="00057FAC">
        <w:rPr>
          <w:rFonts w:asciiTheme="minorHAnsi" w:hAnsiTheme="minorHAnsi" w:cstheme="minorHAnsi"/>
          <w:color w:val="333333"/>
        </w:rPr>
        <w:t xml:space="preserve"> on a sliding scale will be available</w:t>
      </w:r>
      <w:r w:rsidRPr="008F494C">
        <w:rPr>
          <w:rFonts w:asciiTheme="minorHAnsi" w:hAnsiTheme="minorHAnsi" w:cstheme="minorHAnsi"/>
          <w:color w:val="333333"/>
        </w:rPr>
        <w:t>.</w:t>
      </w:r>
    </w:p>
    <w:p w14:paraId="360D48F4" w14:textId="35CDAC75" w:rsidR="00057FAC" w:rsidRDefault="00057FAC" w:rsidP="00057FAC">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This will affect a large number of hospital doctors operating private practices according to our initial research</w:t>
      </w:r>
      <w:r w:rsidR="00E17543">
        <w:rPr>
          <w:rFonts w:asciiTheme="minorHAnsi" w:hAnsiTheme="minorHAnsi" w:cstheme="minorHAnsi"/>
          <w:color w:val="333333"/>
        </w:rPr>
        <w:t>. This may necessitate</w:t>
      </w:r>
      <w:r>
        <w:rPr>
          <w:rFonts w:asciiTheme="minorHAnsi" w:hAnsiTheme="minorHAnsi" w:cstheme="minorHAnsi"/>
          <w:color w:val="333333"/>
        </w:rPr>
        <w:t xml:space="preserve"> a review of trading arrangements, particularly </w:t>
      </w:r>
      <w:r w:rsidR="00E17543">
        <w:rPr>
          <w:rFonts w:asciiTheme="minorHAnsi" w:hAnsiTheme="minorHAnsi" w:cstheme="minorHAnsi"/>
          <w:color w:val="333333"/>
        </w:rPr>
        <w:t xml:space="preserve">bearing in mind </w:t>
      </w:r>
      <w:r>
        <w:rPr>
          <w:rFonts w:asciiTheme="minorHAnsi" w:hAnsiTheme="minorHAnsi" w:cstheme="minorHAnsi"/>
          <w:color w:val="333333"/>
        </w:rPr>
        <w:t xml:space="preserve">the </w:t>
      </w:r>
      <w:r w:rsidR="00E17543">
        <w:rPr>
          <w:rFonts w:asciiTheme="minorHAnsi" w:hAnsiTheme="minorHAnsi" w:cstheme="minorHAnsi"/>
          <w:color w:val="333333"/>
        </w:rPr>
        <w:t>potential for HMRC to question the level of dividends being paid out and reserves being retained (and essentially protected from income taxes) within a close company (a company with five or fewer shareholders).</w:t>
      </w:r>
    </w:p>
    <w:p w14:paraId="2E5DDBDF" w14:textId="5C2FAC6E" w:rsidR="00681BB0" w:rsidRDefault="00681BB0">
      <w:pPr>
        <w:rPr>
          <w:rFonts w:eastAsia="Times New Roman" w:cstheme="minorHAnsi"/>
          <w:color w:val="333333"/>
          <w:sz w:val="24"/>
          <w:szCs w:val="24"/>
          <w:lang w:eastAsia="en-GB"/>
        </w:rPr>
      </w:pPr>
      <w:r>
        <w:rPr>
          <w:rFonts w:cstheme="minorHAnsi"/>
          <w:color w:val="333333"/>
        </w:rPr>
        <w:br w:type="page"/>
      </w:r>
    </w:p>
    <w:p w14:paraId="0633297E" w14:textId="72E95B67" w:rsidR="00B40CFA" w:rsidRDefault="00B40CFA" w:rsidP="00B40CFA">
      <w:pPr>
        <w:pStyle w:val="loose"/>
        <w:shd w:val="clear" w:color="auto" w:fill="FFFFFF"/>
        <w:spacing w:before="0" w:beforeAutospacing="0" w:after="0" w:afterAutospacing="0" w:line="322" w:lineRule="atLeast"/>
        <w:textAlignment w:val="baseline"/>
        <w:rPr>
          <w:rStyle w:val="bold"/>
          <w:rFonts w:asciiTheme="minorHAnsi" w:hAnsiTheme="minorHAnsi" w:cstheme="minorHAnsi"/>
          <w:b/>
          <w:bCs/>
          <w:color w:val="444444"/>
          <w:bdr w:val="none" w:sz="0" w:space="0" w:color="auto" w:frame="1"/>
        </w:rPr>
      </w:pPr>
      <w:r w:rsidRPr="008F494C">
        <w:rPr>
          <w:rStyle w:val="bold"/>
          <w:rFonts w:asciiTheme="minorHAnsi" w:hAnsiTheme="minorHAnsi" w:cstheme="minorHAnsi"/>
          <w:b/>
          <w:bCs/>
          <w:color w:val="444444"/>
          <w:bdr w:val="none" w:sz="0" w:space="0" w:color="auto" w:frame="1"/>
        </w:rPr>
        <w:lastRenderedPageBreak/>
        <w:t>Off-payroll working</w:t>
      </w:r>
      <w:r>
        <w:rPr>
          <w:rStyle w:val="bold"/>
          <w:rFonts w:asciiTheme="minorHAnsi" w:hAnsiTheme="minorHAnsi" w:cstheme="minorHAnsi"/>
          <w:b/>
          <w:bCs/>
          <w:color w:val="444444"/>
          <w:bdr w:val="none" w:sz="0" w:space="0" w:color="auto" w:frame="1"/>
        </w:rPr>
        <w:t xml:space="preserve"> (aka IR35)</w:t>
      </w:r>
    </w:p>
    <w:p w14:paraId="7D6471A7" w14:textId="116921F6" w:rsidR="00681BB0" w:rsidRPr="008F494C" w:rsidRDefault="00681BB0" w:rsidP="00B40CFA">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Pr>
          <w:rFonts w:asciiTheme="minorHAnsi" w:hAnsiTheme="minorHAnsi" w:cstheme="minorHAnsi"/>
          <w:noProof/>
          <w:color w:val="333333"/>
        </w:rPr>
        <w:drawing>
          <wp:inline distT="0" distB="0" distL="0" distR="0" wp14:anchorId="09488B73" wp14:editId="71B988F7">
            <wp:extent cx="5731510" cy="5702498"/>
            <wp:effectExtent l="0" t="0" r="2540" b="0"/>
            <wp:docPr id="7" name="Picture 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5702498"/>
                    </a:xfrm>
                    <a:prstGeom prst="rect">
                      <a:avLst/>
                    </a:prstGeom>
                  </pic:spPr>
                </pic:pic>
              </a:graphicData>
            </a:graphic>
          </wp:inline>
        </w:drawing>
      </w:r>
    </w:p>
    <w:p w14:paraId="73CB7C6B" w14:textId="77777777" w:rsidR="00B40CFA" w:rsidRDefault="00B40CFA" w:rsidP="00B40CFA">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8F494C">
        <w:rPr>
          <w:rFonts w:asciiTheme="minorHAnsi" w:hAnsiTheme="minorHAnsi" w:cstheme="minorHAnsi"/>
        </w:rPr>
        <w:t>New tax rules come into force for individuals who provide their personal services via an ‘intermediary’ to a medium or large business</w:t>
      </w:r>
      <w:r>
        <w:rPr>
          <w:rFonts w:asciiTheme="minorHAnsi" w:hAnsiTheme="minorHAnsi" w:cstheme="minorHAnsi"/>
        </w:rPr>
        <w:t xml:space="preserve"> with effect from 6 April 2021</w:t>
      </w:r>
      <w:r w:rsidRPr="008F494C">
        <w:rPr>
          <w:rFonts w:asciiTheme="minorHAnsi" w:hAnsiTheme="minorHAnsi" w:cstheme="minorHAnsi"/>
        </w:rPr>
        <w:t>. The off-payroll working rules apply where an individual (the worker) provides their services through an intermediary (typically a personal service company) to another person or entity (the client). The client will be required to make a Status Determination Statement (SDS) of a worker’s status and communicate that determination. The client must provide th</w:t>
      </w:r>
      <w:r>
        <w:rPr>
          <w:rFonts w:asciiTheme="minorHAnsi" w:hAnsiTheme="minorHAnsi" w:cstheme="minorHAnsi"/>
        </w:rPr>
        <w:t>is</w:t>
      </w:r>
      <w:r w:rsidRPr="008F494C">
        <w:rPr>
          <w:rFonts w:asciiTheme="minorHAnsi" w:hAnsiTheme="minorHAnsi" w:cstheme="minorHAnsi"/>
        </w:rPr>
        <w:t xml:space="preserve"> SDS to the worker and should include the decision </w:t>
      </w:r>
      <w:r>
        <w:rPr>
          <w:rFonts w:asciiTheme="minorHAnsi" w:hAnsiTheme="minorHAnsi" w:cstheme="minorHAnsi"/>
        </w:rPr>
        <w:t>and</w:t>
      </w:r>
      <w:r w:rsidRPr="008F494C">
        <w:rPr>
          <w:rFonts w:asciiTheme="minorHAnsi" w:hAnsiTheme="minorHAnsi" w:cstheme="minorHAnsi"/>
        </w:rPr>
        <w:t xml:space="preserve"> the reasons underpinning it. The client must take reasonable care in coming to </w:t>
      </w:r>
      <w:r>
        <w:rPr>
          <w:rFonts w:asciiTheme="minorHAnsi" w:hAnsiTheme="minorHAnsi" w:cstheme="minorHAnsi"/>
        </w:rPr>
        <w:t>the determination</w:t>
      </w:r>
      <w:r w:rsidRPr="008F494C">
        <w:rPr>
          <w:rFonts w:asciiTheme="minorHAnsi" w:hAnsiTheme="minorHAnsi" w:cstheme="minorHAnsi"/>
        </w:rPr>
        <w:t xml:space="preserve"> conclusion</w:t>
      </w:r>
      <w:r>
        <w:rPr>
          <w:rFonts w:asciiTheme="minorHAnsi" w:hAnsiTheme="minorHAnsi" w:cstheme="minorHAnsi"/>
        </w:rPr>
        <w:t xml:space="preserve"> or</w:t>
      </w:r>
      <w:r w:rsidRPr="008F494C">
        <w:rPr>
          <w:rFonts w:asciiTheme="minorHAnsi" w:hAnsiTheme="minorHAnsi" w:cstheme="minorHAnsi"/>
        </w:rPr>
        <w:t xml:space="preserve"> the </w:t>
      </w:r>
      <w:r>
        <w:rPr>
          <w:rFonts w:asciiTheme="minorHAnsi" w:hAnsiTheme="minorHAnsi" w:cstheme="minorHAnsi"/>
        </w:rPr>
        <w:t>SDS will be rendered in</w:t>
      </w:r>
      <w:r w:rsidRPr="008F494C">
        <w:rPr>
          <w:rFonts w:asciiTheme="minorHAnsi" w:hAnsiTheme="minorHAnsi" w:cstheme="minorHAnsi"/>
        </w:rPr>
        <w:t>valid</w:t>
      </w:r>
      <w:r>
        <w:rPr>
          <w:rFonts w:asciiTheme="minorHAnsi" w:hAnsiTheme="minorHAnsi" w:cstheme="minorHAnsi"/>
        </w:rPr>
        <w:t>.</w:t>
      </w:r>
    </w:p>
    <w:p w14:paraId="6071172B" w14:textId="77777777" w:rsidR="00B40CFA" w:rsidRDefault="00B40CFA" w:rsidP="00B40CFA">
      <w:pPr>
        <w:pStyle w:val="loose"/>
        <w:shd w:val="clear" w:color="auto" w:fill="FFFFFF"/>
        <w:spacing w:before="0" w:beforeAutospacing="0" w:after="240" w:afterAutospacing="0" w:line="322" w:lineRule="atLeast"/>
        <w:textAlignment w:val="baseline"/>
        <w:rPr>
          <w:rFonts w:asciiTheme="minorHAnsi" w:hAnsiTheme="minorHAnsi" w:cstheme="minorHAnsi"/>
        </w:rPr>
      </w:pPr>
      <w:r>
        <w:rPr>
          <w:rFonts w:asciiTheme="minorHAnsi" w:hAnsiTheme="minorHAnsi" w:cstheme="minorHAnsi"/>
        </w:rPr>
        <w:t>T</w:t>
      </w:r>
      <w:r w:rsidRPr="008F494C">
        <w:rPr>
          <w:rFonts w:asciiTheme="minorHAnsi" w:hAnsiTheme="minorHAnsi" w:cstheme="minorHAnsi"/>
        </w:rPr>
        <w:t xml:space="preserve">he </w:t>
      </w:r>
      <w:r>
        <w:rPr>
          <w:rFonts w:asciiTheme="minorHAnsi" w:hAnsiTheme="minorHAnsi" w:cstheme="minorHAnsi"/>
        </w:rPr>
        <w:t>contractor</w:t>
      </w:r>
      <w:r w:rsidRPr="008F494C">
        <w:rPr>
          <w:rFonts w:asciiTheme="minorHAnsi" w:hAnsiTheme="minorHAnsi" w:cstheme="minorHAnsi"/>
        </w:rPr>
        <w:t xml:space="preserve"> (usually the organisation paying </w:t>
      </w:r>
      <w:r>
        <w:rPr>
          <w:rFonts w:asciiTheme="minorHAnsi" w:hAnsiTheme="minorHAnsi" w:cstheme="minorHAnsi"/>
        </w:rPr>
        <w:t xml:space="preserve">for </w:t>
      </w:r>
      <w:r w:rsidRPr="008F494C">
        <w:rPr>
          <w:rFonts w:asciiTheme="minorHAnsi" w:hAnsiTheme="minorHAnsi" w:cstheme="minorHAnsi"/>
        </w:rPr>
        <w:t xml:space="preserve">the worker’s </w:t>
      </w:r>
      <w:r>
        <w:rPr>
          <w:rFonts w:asciiTheme="minorHAnsi" w:hAnsiTheme="minorHAnsi" w:cstheme="minorHAnsi"/>
        </w:rPr>
        <w:t xml:space="preserve">via their </w:t>
      </w:r>
      <w:r w:rsidRPr="008F494C">
        <w:rPr>
          <w:rFonts w:asciiTheme="minorHAnsi" w:hAnsiTheme="minorHAnsi" w:cstheme="minorHAnsi"/>
        </w:rPr>
        <w:t xml:space="preserve">personal service company) will make deductions for income tax and NICs and </w:t>
      </w:r>
      <w:r>
        <w:rPr>
          <w:rFonts w:asciiTheme="minorHAnsi" w:hAnsiTheme="minorHAnsi" w:cstheme="minorHAnsi"/>
        </w:rPr>
        <w:t xml:space="preserve">more importantly, </w:t>
      </w:r>
      <w:r w:rsidRPr="008F494C">
        <w:rPr>
          <w:rFonts w:asciiTheme="minorHAnsi" w:hAnsiTheme="minorHAnsi" w:cstheme="minorHAnsi"/>
        </w:rPr>
        <w:t xml:space="preserve">pay any employer NICs. </w:t>
      </w:r>
      <w:r>
        <w:rPr>
          <w:rFonts w:asciiTheme="minorHAnsi" w:hAnsiTheme="minorHAnsi" w:cstheme="minorHAnsi"/>
        </w:rPr>
        <w:t xml:space="preserve">This will make such services more expensive for all parties and is likely to reduce the number of workers willing to work without the protection of the employment </w:t>
      </w:r>
      <w:r>
        <w:rPr>
          <w:rFonts w:asciiTheme="minorHAnsi" w:hAnsiTheme="minorHAnsi" w:cstheme="minorHAnsi"/>
        </w:rPr>
        <w:lastRenderedPageBreak/>
        <w:t xml:space="preserve">rights for which essentially, they are paying. Many doctors will have received SDSs already and we are aware of many of the hospital providers taking action to educate them about these provisions. There may be SDSs which interpret how a doctor works as the tests are complicated and apply differently in different circumstances whereas larger organisations often take a broad brush approach (as has been seen with the public bodies). Appeals are allowed and we would suggest requesting assistance from your advisor as they will be familiar with IR35 and how to frame such appeals. </w:t>
      </w:r>
    </w:p>
    <w:p w14:paraId="6D92C807" w14:textId="77777777" w:rsidR="00B40CFA" w:rsidRDefault="00B40CFA" w:rsidP="00B40CFA">
      <w:pPr>
        <w:pStyle w:val="loose"/>
        <w:shd w:val="clear" w:color="auto" w:fill="FFFFFF"/>
        <w:spacing w:before="0" w:beforeAutospacing="0" w:after="240" w:afterAutospacing="0" w:line="322" w:lineRule="atLeast"/>
        <w:textAlignment w:val="baseline"/>
        <w:rPr>
          <w:rFonts w:asciiTheme="minorHAnsi" w:hAnsiTheme="minorHAnsi" w:cstheme="minorHAnsi"/>
        </w:rPr>
      </w:pPr>
      <w:r>
        <w:rPr>
          <w:rFonts w:asciiTheme="minorHAnsi" w:hAnsiTheme="minorHAnsi" w:cstheme="minorHAnsi"/>
        </w:rPr>
        <w:t xml:space="preserve">The new rules do not apply to small companies engaging workers under the off-payroll provisions; any determination of status in these circumstances remains with the worker. The </w:t>
      </w:r>
      <w:r w:rsidRPr="008F494C">
        <w:rPr>
          <w:rFonts w:asciiTheme="minorHAnsi" w:hAnsiTheme="minorHAnsi" w:cstheme="minorHAnsi"/>
        </w:rPr>
        <w:t xml:space="preserve">Companies Act </w:t>
      </w:r>
      <w:r>
        <w:rPr>
          <w:rFonts w:asciiTheme="minorHAnsi" w:hAnsiTheme="minorHAnsi" w:cstheme="minorHAnsi"/>
        </w:rPr>
        <w:t xml:space="preserve">definition </w:t>
      </w:r>
      <w:r w:rsidRPr="008F494C">
        <w:rPr>
          <w:rFonts w:asciiTheme="minorHAnsi" w:hAnsiTheme="minorHAnsi" w:cstheme="minorHAnsi"/>
        </w:rPr>
        <w:t xml:space="preserve">of ‘small’ is one which meets two of these criteria: </w:t>
      </w:r>
    </w:p>
    <w:p w14:paraId="3310949A" w14:textId="77777777" w:rsidR="00B40CFA" w:rsidRDefault="00B40CFA" w:rsidP="00B40CFA">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8F494C">
        <w:rPr>
          <w:rFonts w:asciiTheme="minorHAnsi" w:hAnsiTheme="minorHAnsi" w:cstheme="minorHAnsi"/>
        </w:rPr>
        <w:t xml:space="preserve">• a turnover of </w:t>
      </w:r>
      <w:r>
        <w:rPr>
          <w:rFonts w:asciiTheme="minorHAnsi" w:hAnsiTheme="minorHAnsi" w:cstheme="minorHAnsi"/>
        </w:rPr>
        <w:t xml:space="preserve">less than </w:t>
      </w:r>
      <w:r w:rsidRPr="008F494C">
        <w:rPr>
          <w:rFonts w:asciiTheme="minorHAnsi" w:hAnsiTheme="minorHAnsi" w:cstheme="minorHAnsi"/>
        </w:rPr>
        <w:t>£10.2 million</w:t>
      </w:r>
      <w:r>
        <w:rPr>
          <w:rFonts w:asciiTheme="minorHAnsi" w:hAnsiTheme="minorHAnsi" w:cstheme="minorHAnsi"/>
        </w:rPr>
        <w:t xml:space="preserve">. </w:t>
      </w:r>
      <w:r w:rsidRPr="008F494C">
        <w:rPr>
          <w:rFonts w:asciiTheme="minorHAnsi" w:hAnsiTheme="minorHAnsi" w:cstheme="minorHAnsi"/>
        </w:rPr>
        <w:t xml:space="preserve">If the </w:t>
      </w:r>
      <w:r>
        <w:rPr>
          <w:rFonts w:asciiTheme="minorHAnsi" w:hAnsiTheme="minorHAnsi" w:cstheme="minorHAnsi"/>
        </w:rPr>
        <w:t xml:space="preserve">contracting </w:t>
      </w:r>
      <w:r w:rsidRPr="008F494C">
        <w:rPr>
          <w:rFonts w:asciiTheme="minorHAnsi" w:hAnsiTheme="minorHAnsi" w:cstheme="minorHAnsi"/>
        </w:rPr>
        <w:t xml:space="preserve">business is not a company, only </w:t>
      </w:r>
      <w:r>
        <w:rPr>
          <w:rFonts w:asciiTheme="minorHAnsi" w:hAnsiTheme="minorHAnsi" w:cstheme="minorHAnsi"/>
        </w:rPr>
        <w:t>this</w:t>
      </w:r>
      <w:r w:rsidRPr="008F494C">
        <w:rPr>
          <w:rFonts w:asciiTheme="minorHAnsi" w:hAnsiTheme="minorHAnsi" w:cstheme="minorHAnsi"/>
        </w:rPr>
        <w:t xml:space="preserve"> test appl</w:t>
      </w:r>
      <w:r>
        <w:rPr>
          <w:rFonts w:asciiTheme="minorHAnsi" w:hAnsiTheme="minorHAnsi" w:cstheme="minorHAnsi"/>
        </w:rPr>
        <w:t>ies</w:t>
      </w:r>
    </w:p>
    <w:p w14:paraId="1E21ACB1" w14:textId="77777777" w:rsidR="00B40CFA" w:rsidRDefault="00B40CFA" w:rsidP="00B40CFA">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8F494C">
        <w:rPr>
          <w:rFonts w:asciiTheme="minorHAnsi" w:hAnsiTheme="minorHAnsi" w:cstheme="minorHAnsi"/>
        </w:rPr>
        <w:t xml:space="preserve">• having </w:t>
      </w:r>
      <w:r>
        <w:rPr>
          <w:rFonts w:asciiTheme="minorHAnsi" w:hAnsiTheme="minorHAnsi" w:cstheme="minorHAnsi"/>
        </w:rPr>
        <w:t xml:space="preserve">less than </w:t>
      </w:r>
      <w:r w:rsidRPr="008F494C">
        <w:rPr>
          <w:rFonts w:asciiTheme="minorHAnsi" w:hAnsiTheme="minorHAnsi" w:cstheme="minorHAnsi"/>
        </w:rPr>
        <w:t>£5.1 million on the balance sheet</w:t>
      </w:r>
    </w:p>
    <w:p w14:paraId="0CEAC67D" w14:textId="77777777" w:rsidR="00B40CFA" w:rsidRDefault="00B40CFA" w:rsidP="00B40CFA">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8F494C">
        <w:rPr>
          <w:rFonts w:asciiTheme="minorHAnsi" w:hAnsiTheme="minorHAnsi" w:cstheme="minorHAnsi"/>
        </w:rPr>
        <w:t xml:space="preserve">• </w:t>
      </w:r>
      <w:r>
        <w:rPr>
          <w:rFonts w:asciiTheme="minorHAnsi" w:hAnsiTheme="minorHAnsi" w:cstheme="minorHAnsi"/>
        </w:rPr>
        <w:t>employing fewer than</w:t>
      </w:r>
      <w:r w:rsidRPr="008F494C">
        <w:rPr>
          <w:rFonts w:asciiTheme="minorHAnsi" w:hAnsiTheme="minorHAnsi" w:cstheme="minorHAnsi"/>
        </w:rPr>
        <w:t xml:space="preserve"> 50 employees. </w:t>
      </w:r>
    </w:p>
    <w:p w14:paraId="25CD6821" w14:textId="12D12DE3" w:rsidR="00B40CFA" w:rsidRDefault="00B40CFA" w:rsidP="00B40CFA">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T</w:t>
      </w:r>
      <w:r w:rsidRPr="008F494C">
        <w:rPr>
          <w:rFonts w:asciiTheme="minorHAnsi" w:hAnsiTheme="minorHAnsi" w:cstheme="minorHAnsi"/>
          <w:color w:val="333333"/>
        </w:rPr>
        <w:t xml:space="preserve">he Government </w:t>
      </w:r>
      <w:r>
        <w:rPr>
          <w:rFonts w:asciiTheme="minorHAnsi" w:hAnsiTheme="minorHAnsi" w:cstheme="minorHAnsi"/>
          <w:color w:val="333333"/>
        </w:rPr>
        <w:t>are</w:t>
      </w:r>
      <w:r w:rsidRPr="008F494C">
        <w:rPr>
          <w:rFonts w:asciiTheme="minorHAnsi" w:hAnsiTheme="minorHAnsi" w:cstheme="minorHAnsi"/>
          <w:color w:val="333333"/>
        </w:rPr>
        <w:t xml:space="preserve"> introduc</w:t>
      </w:r>
      <w:r>
        <w:rPr>
          <w:rFonts w:asciiTheme="minorHAnsi" w:hAnsiTheme="minorHAnsi" w:cstheme="minorHAnsi"/>
          <w:color w:val="333333"/>
        </w:rPr>
        <w:t>ing</w:t>
      </w:r>
      <w:r w:rsidRPr="008F494C">
        <w:rPr>
          <w:rFonts w:asciiTheme="minorHAnsi" w:hAnsiTheme="minorHAnsi" w:cstheme="minorHAnsi"/>
          <w:color w:val="333333"/>
        </w:rPr>
        <w:t xml:space="preserve"> a Targeted Anti</w:t>
      </w:r>
      <w:r>
        <w:rPr>
          <w:rFonts w:asciiTheme="minorHAnsi" w:hAnsiTheme="minorHAnsi" w:cstheme="minorHAnsi"/>
          <w:color w:val="333333"/>
        </w:rPr>
        <w:t>-</w:t>
      </w:r>
      <w:r w:rsidRPr="008F494C">
        <w:rPr>
          <w:rFonts w:asciiTheme="minorHAnsi" w:hAnsiTheme="minorHAnsi" w:cstheme="minorHAnsi"/>
          <w:color w:val="333333"/>
        </w:rPr>
        <w:t>Avoidance Rule to ensure that the definition of intermediar</w:t>
      </w:r>
      <w:r>
        <w:rPr>
          <w:rFonts w:asciiTheme="minorHAnsi" w:hAnsiTheme="minorHAnsi" w:cstheme="minorHAnsi"/>
          <w:color w:val="333333"/>
        </w:rPr>
        <w:t>ies</w:t>
      </w:r>
      <w:r w:rsidRPr="008F494C">
        <w:rPr>
          <w:rFonts w:asciiTheme="minorHAnsi" w:hAnsiTheme="minorHAnsi" w:cstheme="minorHAnsi"/>
          <w:color w:val="333333"/>
        </w:rPr>
        <w:t xml:space="preserve"> cannot be exploited. </w:t>
      </w:r>
    </w:p>
    <w:p w14:paraId="5B4C0647" w14:textId="5A79F657" w:rsidR="00915579" w:rsidRPr="00E85FA9" w:rsidRDefault="00681BB0" w:rsidP="00915579">
      <w:pPr>
        <w:pStyle w:val="loose"/>
        <w:shd w:val="clear" w:color="auto" w:fill="FFFFFF"/>
        <w:spacing w:before="0" w:beforeAutospacing="0" w:after="240" w:afterAutospacing="0" w:line="322" w:lineRule="atLeast"/>
        <w:textAlignment w:val="baseline"/>
        <w:rPr>
          <w:rFonts w:asciiTheme="minorHAnsi" w:hAnsiTheme="minorHAnsi" w:cstheme="minorHAnsi"/>
          <w:b/>
          <w:bCs/>
          <w:color w:val="333333"/>
        </w:rPr>
      </w:pPr>
      <w:r>
        <w:rPr>
          <w:rFonts w:asciiTheme="minorHAnsi" w:hAnsiTheme="minorHAnsi" w:cstheme="minorHAnsi"/>
          <w:b/>
          <w:bCs/>
          <w:color w:val="333333"/>
        </w:rPr>
        <w:t>COVID-RELATED</w:t>
      </w:r>
    </w:p>
    <w:p w14:paraId="482D9F09" w14:textId="77777777" w:rsidR="00681BB0" w:rsidRPr="00681BB0" w:rsidRDefault="00915579" w:rsidP="00681BB0">
      <w:pPr>
        <w:pStyle w:val="NoSpacing"/>
        <w:rPr>
          <w:b/>
          <w:bCs/>
        </w:rPr>
      </w:pPr>
      <w:r w:rsidRPr="00681BB0">
        <w:rPr>
          <w:b/>
          <w:bCs/>
        </w:rPr>
        <w:t>The Coronavirus Job Retention Scheme (CJRS)</w:t>
      </w:r>
    </w:p>
    <w:p w14:paraId="3B28D731" w14:textId="1BEF58C8" w:rsidR="00915579" w:rsidRPr="00E85FA9" w:rsidRDefault="00915579" w:rsidP="00681BB0">
      <w:pPr>
        <w:pStyle w:val="NoSpacing"/>
      </w:pPr>
      <w:r w:rsidRPr="00E85FA9">
        <w:t xml:space="preserve">The current CJRS allows an employer to put an employee on furlough leave and apply for a grant to cover salary costs for the period of furlough. The employer: </w:t>
      </w:r>
    </w:p>
    <w:p w14:paraId="28D451BD" w14:textId="77777777" w:rsidR="00915579" w:rsidRPr="00E85FA9" w:rsidRDefault="00915579" w:rsidP="00915579">
      <w:pPr>
        <w:pStyle w:val="loose"/>
        <w:numPr>
          <w:ilvl w:val="0"/>
          <w:numId w:val="3"/>
        </w:numPr>
        <w:shd w:val="clear" w:color="auto" w:fill="FFFFFF"/>
        <w:spacing w:before="0" w:beforeAutospacing="0" w:after="240" w:afterAutospacing="0" w:line="322" w:lineRule="atLeast"/>
        <w:textAlignment w:val="baseline"/>
        <w:rPr>
          <w:rFonts w:asciiTheme="minorHAnsi" w:hAnsiTheme="minorHAnsi" w:cstheme="minorHAnsi"/>
        </w:rPr>
      </w:pPr>
      <w:r w:rsidRPr="00E85FA9">
        <w:rPr>
          <w:rFonts w:asciiTheme="minorHAnsi" w:hAnsiTheme="minorHAnsi" w:cstheme="minorHAnsi"/>
        </w:rPr>
        <w:t>Claims up to 80% of ‘usual salary’ for hours not worked, (maximum of £2,500 per employee) per month</w:t>
      </w:r>
    </w:p>
    <w:p w14:paraId="74507874" w14:textId="77777777" w:rsidR="00915579" w:rsidRPr="00E85FA9" w:rsidRDefault="00915579" w:rsidP="00915579">
      <w:pPr>
        <w:pStyle w:val="loose"/>
        <w:numPr>
          <w:ilvl w:val="0"/>
          <w:numId w:val="3"/>
        </w:numPr>
        <w:shd w:val="clear" w:color="auto" w:fill="FFFFFF"/>
        <w:spacing w:before="0" w:beforeAutospacing="0" w:after="240" w:afterAutospacing="0" w:line="322" w:lineRule="atLeast"/>
        <w:textAlignment w:val="baseline"/>
        <w:rPr>
          <w:rFonts w:asciiTheme="minorHAnsi" w:hAnsiTheme="minorHAnsi" w:cstheme="minorHAnsi"/>
          <w:color w:val="333333"/>
        </w:rPr>
      </w:pPr>
      <w:r w:rsidRPr="00E85FA9">
        <w:rPr>
          <w:rFonts w:asciiTheme="minorHAnsi" w:hAnsiTheme="minorHAnsi" w:cstheme="minorHAnsi"/>
        </w:rPr>
        <w:t>Funds employer National Insurance contributions (NICs) and the minimum employer automatic enrolment workplace pension contributions.</w:t>
      </w:r>
    </w:p>
    <w:p w14:paraId="4E29EE34" w14:textId="77777777" w:rsidR="00915579" w:rsidRPr="00E85FA9" w:rsidRDefault="00915579" w:rsidP="00915579">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E85FA9">
        <w:rPr>
          <w:rFonts w:asciiTheme="minorHAnsi" w:hAnsiTheme="minorHAnsi" w:cstheme="minorHAnsi"/>
        </w:rPr>
        <w:t>This CJRS has been extended further until 30 September 2021. The level of grant available to employers will remain until 30 June 2021but with effect from 1 July 2021, the grant will be reduced and employers will contribute towards the cost of furloughed employees’ wages:</w:t>
      </w:r>
    </w:p>
    <w:p w14:paraId="39A428AB" w14:textId="77777777" w:rsidR="00915579" w:rsidRPr="00E85FA9" w:rsidRDefault="00915579" w:rsidP="00915579">
      <w:pPr>
        <w:pStyle w:val="loose"/>
        <w:numPr>
          <w:ilvl w:val="0"/>
          <w:numId w:val="4"/>
        </w:numPr>
        <w:shd w:val="clear" w:color="auto" w:fill="FFFFFF"/>
        <w:spacing w:before="0" w:beforeAutospacing="0" w:after="240" w:afterAutospacing="0" w:line="322" w:lineRule="atLeast"/>
        <w:textAlignment w:val="baseline"/>
        <w:rPr>
          <w:rFonts w:asciiTheme="minorHAnsi" w:hAnsiTheme="minorHAnsi" w:cstheme="minorHAnsi"/>
        </w:rPr>
      </w:pPr>
      <w:r w:rsidRPr="00E85FA9">
        <w:rPr>
          <w:rFonts w:asciiTheme="minorHAnsi" w:hAnsiTheme="minorHAnsi" w:cstheme="minorHAnsi"/>
        </w:rPr>
        <w:t>from 1 July 2021 70% of furloughed wages up to a maximum of £2187.50; and</w:t>
      </w:r>
    </w:p>
    <w:p w14:paraId="69B8F18C" w14:textId="77777777" w:rsidR="00915579" w:rsidRPr="00E85FA9" w:rsidRDefault="00915579" w:rsidP="00915579">
      <w:pPr>
        <w:pStyle w:val="loose"/>
        <w:numPr>
          <w:ilvl w:val="0"/>
          <w:numId w:val="4"/>
        </w:numPr>
        <w:shd w:val="clear" w:color="auto" w:fill="FFFFFF"/>
        <w:spacing w:before="0" w:beforeAutospacing="0" w:after="240" w:afterAutospacing="0" w:line="322" w:lineRule="atLeast"/>
        <w:textAlignment w:val="baseline"/>
        <w:rPr>
          <w:rFonts w:asciiTheme="minorHAnsi" w:hAnsiTheme="minorHAnsi" w:cstheme="minorHAnsi"/>
        </w:rPr>
      </w:pPr>
      <w:r w:rsidRPr="00E85FA9">
        <w:rPr>
          <w:rFonts w:asciiTheme="minorHAnsi" w:hAnsiTheme="minorHAnsi" w:cstheme="minorHAnsi"/>
        </w:rPr>
        <w:t>for August and September 2021 60% of furloughed wages up to a maximum of £1,875.00.</w:t>
      </w:r>
    </w:p>
    <w:p w14:paraId="7717885C" w14:textId="12E19113" w:rsidR="00915579" w:rsidRDefault="00915579" w:rsidP="00915579">
      <w:pPr>
        <w:pStyle w:val="loose"/>
        <w:shd w:val="clear" w:color="auto" w:fill="FFFFFF"/>
        <w:spacing w:before="0" w:beforeAutospacing="0" w:after="240" w:afterAutospacing="0" w:line="322" w:lineRule="atLeast"/>
        <w:textAlignment w:val="baseline"/>
        <w:rPr>
          <w:rFonts w:asciiTheme="minorHAnsi" w:hAnsiTheme="minorHAnsi" w:cstheme="minorHAnsi"/>
        </w:rPr>
      </w:pPr>
      <w:r w:rsidRPr="00E85FA9">
        <w:rPr>
          <w:rFonts w:asciiTheme="minorHAnsi" w:hAnsiTheme="minorHAnsi" w:cstheme="minorHAnsi"/>
        </w:rPr>
        <w:t>Eligibility forces an employer to pay furloughed employees 80% of their salaries (capped at the maximum £2,500 per month), for the time they are furloughed.</w:t>
      </w:r>
    </w:p>
    <w:p w14:paraId="728741C4" w14:textId="49F3016D" w:rsidR="00681BB0" w:rsidRDefault="00681BB0">
      <w:pPr>
        <w:rPr>
          <w:rFonts w:eastAsia="Times New Roman" w:cstheme="minorHAnsi"/>
          <w:sz w:val="24"/>
          <w:szCs w:val="24"/>
          <w:lang w:eastAsia="en-GB"/>
        </w:rPr>
      </w:pPr>
      <w:r>
        <w:rPr>
          <w:rFonts w:cstheme="minorHAnsi"/>
        </w:rPr>
        <w:br w:type="page"/>
      </w:r>
    </w:p>
    <w:p w14:paraId="5CD71EF7" w14:textId="43F80CF0" w:rsidR="00915579" w:rsidRDefault="00915579" w:rsidP="00915579">
      <w:pPr>
        <w:pStyle w:val="loose"/>
        <w:shd w:val="clear" w:color="auto" w:fill="FFFFFF"/>
        <w:spacing w:before="0" w:beforeAutospacing="0" w:after="0" w:afterAutospacing="0" w:line="322" w:lineRule="atLeast"/>
        <w:textAlignment w:val="baseline"/>
        <w:rPr>
          <w:rStyle w:val="italic"/>
          <w:rFonts w:asciiTheme="minorHAnsi" w:hAnsiTheme="minorHAnsi" w:cstheme="minorHAnsi"/>
          <w:b/>
          <w:bCs/>
          <w:color w:val="333333"/>
          <w:bdr w:val="none" w:sz="0" w:space="0" w:color="auto" w:frame="1"/>
        </w:rPr>
      </w:pPr>
      <w:r w:rsidRPr="004D572E">
        <w:rPr>
          <w:rStyle w:val="italic"/>
          <w:rFonts w:asciiTheme="minorHAnsi" w:hAnsiTheme="minorHAnsi" w:cstheme="minorHAnsi"/>
          <w:b/>
          <w:bCs/>
          <w:color w:val="333333"/>
          <w:bdr w:val="none" w:sz="0" w:space="0" w:color="auto" w:frame="1"/>
        </w:rPr>
        <w:lastRenderedPageBreak/>
        <w:t>Home office equipment expenses</w:t>
      </w:r>
    </w:p>
    <w:p w14:paraId="1E151F18" w14:textId="303F67C8" w:rsidR="00681BB0" w:rsidRPr="004D572E" w:rsidRDefault="00681BB0" w:rsidP="00915579">
      <w:pPr>
        <w:pStyle w:val="loose"/>
        <w:shd w:val="clear" w:color="auto" w:fill="FFFFFF"/>
        <w:spacing w:before="0" w:beforeAutospacing="0" w:after="0" w:afterAutospacing="0" w:line="322" w:lineRule="atLeast"/>
        <w:textAlignment w:val="baseline"/>
        <w:rPr>
          <w:rFonts w:asciiTheme="minorHAnsi" w:hAnsiTheme="minorHAnsi" w:cstheme="minorHAnsi"/>
          <w:b/>
          <w:bCs/>
          <w:color w:val="333333"/>
        </w:rPr>
      </w:pPr>
      <w:r>
        <w:rPr>
          <w:rFonts w:asciiTheme="minorHAnsi" w:hAnsiTheme="minorHAnsi" w:cstheme="minorHAnsi"/>
          <w:b/>
          <w:bCs/>
          <w:noProof/>
          <w:color w:val="333333"/>
        </w:rPr>
        <w:drawing>
          <wp:inline distT="0" distB="0" distL="0" distR="0" wp14:anchorId="0B7D2BE5" wp14:editId="66EE675D">
            <wp:extent cx="5981700" cy="5863590"/>
            <wp:effectExtent l="0" t="0" r="0" b="381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1700" cy="5863590"/>
                    </a:xfrm>
                    <a:prstGeom prst="rect">
                      <a:avLst/>
                    </a:prstGeom>
                  </pic:spPr>
                </pic:pic>
              </a:graphicData>
            </a:graphic>
          </wp:inline>
        </w:drawing>
      </w:r>
    </w:p>
    <w:p w14:paraId="405B3B00" w14:textId="77777777" w:rsidR="00681BB0" w:rsidRDefault="00681BB0" w:rsidP="00915579">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p>
    <w:p w14:paraId="43CBD926" w14:textId="0000F8F3" w:rsidR="00915579" w:rsidRPr="008F494C" w:rsidRDefault="00915579" w:rsidP="00915579">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xml:space="preserve">Legislation was introduced to </w:t>
      </w:r>
      <w:r>
        <w:rPr>
          <w:rFonts w:asciiTheme="minorHAnsi" w:hAnsiTheme="minorHAnsi" w:cstheme="minorHAnsi"/>
          <w:color w:val="333333"/>
        </w:rPr>
        <w:t>prevent a</w:t>
      </w:r>
      <w:r w:rsidRPr="008F494C">
        <w:rPr>
          <w:rFonts w:asciiTheme="minorHAnsi" w:hAnsiTheme="minorHAnsi" w:cstheme="minorHAnsi"/>
          <w:color w:val="333333"/>
        </w:rPr>
        <w:t xml:space="preserve"> charge to tax </w:t>
      </w:r>
      <w:r>
        <w:rPr>
          <w:rFonts w:asciiTheme="minorHAnsi" w:hAnsiTheme="minorHAnsi" w:cstheme="minorHAnsi"/>
          <w:color w:val="333333"/>
        </w:rPr>
        <w:t xml:space="preserve">or NICs </w:t>
      </w:r>
      <w:r w:rsidRPr="008F494C">
        <w:rPr>
          <w:rFonts w:asciiTheme="minorHAnsi" w:hAnsiTheme="minorHAnsi" w:cstheme="minorHAnsi"/>
          <w:color w:val="333333"/>
        </w:rPr>
        <w:t>for amount</w:t>
      </w:r>
      <w:r>
        <w:rPr>
          <w:rFonts w:asciiTheme="minorHAnsi" w:hAnsiTheme="minorHAnsi" w:cstheme="minorHAnsi"/>
          <w:color w:val="333333"/>
        </w:rPr>
        <w:t>s</w:t>
      </w:r>
      <w:r w:rsidRPr="008F494C">
        <w:rPr>
          <w:rFonts w:asciiTheme="minorHAnsi" w:hAnsiTheme="minorHAnsi" w:cstheme="minorHAnsi"/>
          <w:color w:val="333333"/>
        </w:rPr>
        <w:t xml:space="preserve"> reimbursed to employee</w:t>
      </w:r>
      <w:r>
        <w:rPr>
          <w:rFonts w:asciiTheme="minorHAnsi" w:hAnsiTheme="minorHAnsi" w:cstheme="minorHAnsi"/>
          <w:color w:val="333333"/>
        </w:rPr>
        <w:t>s</w:t>
      </w:r>
      <w:r w:rsidRPr="008F494C">
        <w:rPr>
          <w:rFonts w:asciiTheme="minorHAnsi" w:hAnsiTheme="minorHAnsi" w:cstheme="minorHAnsi"/>
          <w:color w:val="333333"/>
        </w:rPr>
        <w:t xml:space="preserve"> </w:t>
      </w:r>
      <w:r>
        <w:rPr>
          <w:rFonts w:asciiTheme="minorHAnsi" w:hAnsiTheme="minorHAnsi" w:cstheme="minorHAnsi"/>
          <w:color w:val="333333"/>
        </w:rPr>
        <w:t>between</w:t>
      </w:r>
      <w:r w:rsidRPr="008F494C">
        <w:rPr>
          <w:rFonts w:asciiTheme="minorHAnsi" w:hAnsiTheme="minorHAnsi" w:cstheme="minorHAnsi"/>
          <w:color w:val="333333"/>
        </w:rPr>
        <w:t xml:space="preserve"> </w:t>
      </w:r>
      <w:r>
        <w:rPr>
          <w:rFonts w:asciiTheme="minorHAnsi" w:hAnsiTheme="minorHAnsi" w:cstheme="minorHAnsi"/>
          <w:color w:val="333333"/>
        </w:rPr>
        <w:t xml:space="preserve">16 March 2020 </w:t>
      </w:r>
      <w:r w:rsidRPr="008F494C">
        <w:rPr>
          <w:rFonts w:asciiTheme="minorHAnsi" w:hAnsiTheme="minorHAnsi" w:cstheme="minorHAnsi"/>
          <w:color w:val="333333"/>
        </w:rPr>
        <w:t xml:space="preserve"> (backdated by concession) and </w:t>
      </w:r>
      <w:r>
        <w:rPr>
          <w:rFonts w:asciiTheme="minorHAnsi" w:hAnsiTheme="minorHAnsi" w:cstheme="minorHAnsi"/>
          <w:color w:val="333333"/>
        </w:rPr>
        <w:t>5</w:t>
      </w:r>
      <w:r w:rsidRPr="008F494C">
        <w:rPr>
          <w:rFonts w:asciiTheme="minorHAnsi" w:hAnsiTheme="minorHAnsi" w:cstheme="minorHAnsi"/>
          <w:color w:val="333333"/>
        </w:rPr>
        <w:t xml:space="preserve"> April 202</w:t>
      </w:r>
      <w:r>
        <w:rPr>
          <w:rFonts w:asciiTheme="minorHAnsi" w:hAnsiTheme="minorHAnsi" w:cstheme="minorHAnsi"/>
          <w:color w:val="333333"/>
        </w:rPr>
        <w:t>2</w:t>
      </w:r>
      <w:r w:rsidRPr="008F494C">
        <w:rPr>
          <w:rFonts w:asciiTheme="minorHAnsi" w:hAnsiTheme="minorHAnsi" w:cstheme="minorHAnsi"/>
          <w:color w:val="333333"/>
        </w:rPr>
        <w:t xml:space="preserve"> in respect of home office equipment expenses incurred by the employee in respect of equipment obtained for the sole purpose of enabling home</w:t>
      </w:r>
      <w:r>
        <w:rPr>
          <w:rFonts w:asciiTheme="minorHAnsi" w:hAnsiTheme="minorHAnsi" w:cstheme="minorHAnsi"/>
          <w:color w:val="333333"/>
        </w:rPr>
        <w:t>-working</w:t>
      </w:r>
      <w:r w:rsidRPr="008F494C">
        <w:rPr>
          <w:rFonts w:asciiTheme="minorHAnsi" w:hAnsiTheme="minorHAnsi" w:cstheme="minorHAnsi"/>
          <w:color w:val="333333"/>
        </w:rPr>
        <w:t xml:space="preserve"> during COVID. There must be no significant private use</w:t>
      </w:r>
      <w:r>
        <w:rPr>
          <w:rFonts w:asciiTheme="minorHAnsi" w:hAnsiTheme="minorHAnsi" w:cstheme="minorHAnsi"/>
          <w:color w:val="333333"/>
        </w:rPr>
        <w:t>, although how this is to be policed other than by a written policy, is uncertain; and what happens to the equipment if the employee returns to the office is unknown</w:t>
      </w:r>
      <w:r w:rsidRPr="008F494C">
        <w:rPr>
          <w:rFonts w:asciiTheme="minorHAnsi" w:hAnsiTheme="minorHAnsi" w:cstheme="minorHAnsi"/>
          <w:color w:val="333333"/>
        </w:rPr>
        <w:t xml:space="preserve">. </w:t>
      </w:r>
    </w:p>
    <w:p w14:paraId="7E566476" w14:textId="77777777" w:rsidR="00915579" w:rsidRPr="004D572E" w:rsidRDefault="00915579" w:rsidP="00915579">
      <w:pPr>
        <w:pStyle w:val="loose"/>
        <w:shd w:val="clear" w:color="auto" w:fill="FFFFFF"/>
        <w:spacing w:before="0" w:beforeAutospacing="0" w:after="0" w:afterAutospacing="0" w:line="322" w:lineRule="atLeast"/>
        <w:textAlignment w:val="baseline"/>
        <w:rPr>
          <w:rFonts w:asciiTheme="minorHAnsi" w:hAnsiTheme="minorHAnsi" w:cstheme="minorHAnsi"/>
          <w:b/>
          <w:bCs/>
          <w:color w:val="333333"/>
        </w:rPr>
      </w:pPr>
      <w:r w:rsidRPr="004D572E">
        <w:rPr>
          <w:rStyle w:val="italic"/>
          <w:rFonts w:asciiTheme="minorHAnsi" w:hAnsiTheme="minorHAnsi" w:cstheme="minorHAnsi"/>
          <w:b/>
          <w:bCs/>
          <w:color w:val="333333"/>
          <w:bdr w:val="none" w:sz="0" w:space="0" w:color="auto" w:frame="1"/>
        </w:rPr>
        <w:t>Employer-provided coronavirus tests</w:t>
      </w:r>
    </w:p>
    <w:p w14:paraId="53590504" w14:textId="77777777" w:rsidR="00915579" w:rsidRPr="008F494C" w:rsidRDefault="00915579" w:rsidP="00915579">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xml:space="preserve">Legislation </w:t>
      </w:r>
      <w:r>
        <w:rPr>
          <w:rFonts w:asciiTheme="minorHAnsi" w:hAnsiTheme="minorHAnsi" w:cstheme="minorHAnsi"/>
          <w:color w:val="333333"/>
        </w:rPr>
        <w:t>has been extended</w:t>
      </w:r>
      <w:r w:rsidRPr="008F494C">
        <w:rPr>
          <w:rFonts w:asciiTheme="minorHAnsi" w:hAnsiTheme="minorHAnsi" w:cstheme="minorHAnsi"/>
          <w:color w:val="333333"/>
        </w:rPr>
        <w:t xml:space="preserve"> to ensure the provision of coronavirus antigen to employees do not attract tax and NIC for </w:t>
      </w:r>
      <w:r>
        <w:rPr>
          <w:rFonts w:asciiTheme="minorHAnsi" w:hAnsiTheme="minorHAnsi" w:cstheme="minorHAnsi"/>
          <w:color w:val="333333"/>
        </w:rPr>
        <w:t>20</w:t>
      </w:r>
      <w:r w:rsidRPr="008F494C">
        <w:rPr>
          <w:rFonts w:asciiTheme="minorHAnsi" w:hAnsiTheme="minorHAnsi" w:cstheme="minorHAnsi"/>
          <w:color w:val="333333"/>
        </w:rPr>
        <w:t>21</w:t>
      </w:r>
      <w:r>
        <w:rPr>
          <w:rFonts w:asciiTheme="minorHAnsi" w:hAnsiTheme="minorHAnsi" w:cstheme="minorHAnsi"/>
          <w:color w:val="333333"/>
        </w:rPr>
        <w:t xml:space="preserve"> and 2022</w:t>
      </w:r>
      <w:r w:rsidRPr="008F494C">
        <w:rPr>
          <w:rFonts w:asciiTheme="minorHAnsi" w:hAnsiTheme="minorHAnsi" w:cstheme="minorHAnsi"/>
          <w:color w:val="333333"/>
        </w:rPr>
        <w:t xml:space="preserve">. </w:t>
      </w:r>
      <w:r>
        <w:rPr>
          <w:rFonts w:asciiTheme="minorHAnsi" w:hAnsiTheme="minorHAnsi" w:cstheme="minorHAnsi"/>
          <w:color w:val="333333"/>
        </w:rPr>
        <w:t>In addition t</w:t>
      </w:r>
      <w:r w:rsidRPr="008F494C">
        <w:rPr>
          <w:rFonts w:asciiTheme="minorHAnsi" w:hAnsiTheme="minorHAnsi" w:cstheme="minorHAnsi"/>
          <w:color w:val="333333"/>
        </w:rPr>
        <w:t xml:space="preserve">he Finance Bill 2021 will introduce </w:t>
      </w:r>
      <w:r w:rsidRPr="008F494C">
        <w:rPr>
          <w:rFonts w:asciiTheme="minorHAnsi" w:hAnsiTheme="minorHAnsi" w:cstheme="minorHAnsi"/>
          <w:color w:val="333333"/>
        </w:rPr>
        <w:lastRenderedPageBreak/>
        <w:t xml:space="preserve">a retrospective income tax </w:t>
      </w:r>
      <w:r>
        <w:rPr>
          <w:rFonts w:asciiTheme="minorHAnsi" w:hAnsiTheme="minorHAnsi" w:cstheme="minorHAnsi"/>
          <w:color w:val="333333"/>
        </w:rPr>
        <w:t xml:space="preserve">and NIC </w:t>
      </w:r>
      <w:r w:rsidRPr="008F494C">
        <w:rPr>
          <w:rFonts w:asciiTheme="minorHAnsi" w:hAnsiTheme="minorHAnsi" w:cstheme="minorHAnsi"/>
          <w:color w:val="333333"/>
        </w:rPr>
        <w:t xml:space="preserve">exemption for payments to reimburse </w:t>
      </w:r>
      <w:r>
        <w:rPr>
          <w:rFonts w:asciiTheme="minorHAnsi" w:hAnsiTheme="minorHAnsi" w:cstheme="minorHAnsi"/>
          <w:color w:val="333333"/>
        </w:rPr>
        <w:t>employees</w:t>
      </w:r>
      <w:r w:rsidRPr="008F494C">
        <w:rPr>
          <w:rFonts w:asciiTheme="minorHAnsi" w:hAnsiTheme="minorHAnsi" w:cstheme="minorHAnsi"/>
          <w:color w:val="333333"/>
        </w:rPr>
        <w:t xml:space="preserve"> for the cost of a coronavirus antigen test. </w:t>
      </w:r>
    </w:p>
    <w:p w14:paraId="37899FDD" w14:textId="33144AAA" w:rsidR="00FB6384" w:rsidRDefault="00FB6384" w:rsidP="00FB6384">
      <w:pPr>
        <w:pStyle w:val="loose"/>
        <w:shd w:val="clear" w:color="auto" w:fill="FFFFFF"/>
        <w:spacing w:before="0" w:beforeAutospacing="0" w:after="0" w:afterAutospacing="0" w:line="322" w:lineRule="atLeast"/>
        <w:textAlignment w:val="baseline"/>
        <w:rPr>
          <w:rStyle w:val="bold"/>
          <w:rFonts w:asciiTheme="minorHAnsi" w:hAnsiTheme="minorHAnsi" w:cstheme="minorHAnsi"/>
          <w:b/>
          <w:bCs/>
          <w:color w:val="444444"/>
          <w:bdr w:val="none" w:sz="0" w:space="0" w:color="auto" w:frame="1"/>
        </w:rPr>
      </w:pPr>
      <w:r w:rsidRPr="008F494C">
        <w:rPr>
          <w:rStyle w:val="bold"/>
          <w:rFonts w:asciiTheme="minorHAnsi" w:hAnsiTheme="minorHAnsi" w:cstheme="minorHAnsi"/>
          <w:b/>
          <w:bCs/>
          <w:color w:val="444444"/>
          <w:bdr w:val="none" w:sz="0" w:space="0" w:color="auto" w:frame="1"/>
        </w:rPr>
        <w:t>VAT AND INDIRECT TAXES</w:t>
      </w:r>
    </w:p>
    <w:p w14:paraId="2C8125DD" w14:textId="27787B34" w:rsidR="00D37B41" w:rsidRPr="00D37B41" w:rsidRDefault="00D37B41" w:rsidP="00FB6384">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D37B41">
        <w:rPr>
          <w:rStyle w:val="bold"/>
          <w:rFonts w:asciiTheme="minorHAnsi" w:hAnsiTheme="minorHAnsi" w:cstheme="minorHAnsi"/>
          <w:color w:val="444444"/>
          <w:bdr w:val="none" w:sz="0" w:space="0" w:color="auto" w:frame="1"/>
        </w:rPr>
        <w:t xml:space="preserve">Not many hospital doctors </w:t>
      </w:r>
      <w:r>
        <w:rPr>
          <w:rStyle w:val="bold"/>
          <w:rFonts w:asciiTheme="minorHAnsi" w:hAnsiTheme="minorHAnsi" w:cstheme="minorHAnsi"/>
          <w:color w:val="444444"/>
          <w:bdr w:val="none" w:sz="0" w:space="0" w:color="auto" w:frame="1"/>
        </w:rPr>
        <w:t xml:space="preserve">are registered for VAT as medical services are usually exempt (detail) </w:t>
      </w:r>
    </w:p>
    <w:p w14:paraId="35C6BFFF" w14:textId="77777777" w:rsidR="00FB6384" w:rsidRPr="008F494C" w:rsidRDefault="00FB6384" w:rsidP="00FB6384">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VAT registration/deregistration thresholds</w:t>
      </w:r>
    </w:p>
    <w:p w14:paraId="24C063E5" w14:textId="7711AD6A" w:rsidR="00FB6384" w:rsidRPr="008F494C"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The VAT thresholds for registration and deregistration (£85,000 and £83,000 respectively) will be maintained until 31 March 2024.</w:t>
      </w:r>
    </w:p>
    <w:p w14:paraId="03C4FBE5" w14:textId="77777777" w:rsidR="00FB6384" w:rsidRPr="008F494C" w:rsidRDefault="00FB6384" w:rsidP="00FB6384">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Reduced rate for the hospitality industry extended</w:t>
      </w:r>
    </w:p>
    <w:p w14:paraId="37004068" w14:textId="33A32B70" w:rsidR="00FB6384" w:rsidRPr="008F494C"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The reduced rate of 5% which currently applies to certain supplies relating to hospitality, hotel and holiday accommodation and admission to certain attractions will be extended until 30 September 2021.</w:t>
      </w:r>
      <w:r w:rsidR="00E17543">
        <w:rPr>
          <w:rFonts w:asciiTheme="minorHAnsi" w:hAnsiTheme="minorHAnsi" w:cstheme="minorHAnsi"/>
          <w:color w:val="333333"/>
        </w:rPr>
        <w:t>From 1 October 2021 a</w:t>
      </w:r>
      <w:r w:rsidRPr="008F494C">
        <w:rPr>
          <w:rFonts w:asciiTheme="minorHAnsi" w:hAnsiTheme="minorHAnsi" w:cstheme="minorHAnsi"/>
          <w:color w:val="333333"/>
        </w:rPr>
        <w:t xml:space="preserve"> rate of 12.5% will then apply until 31 March 2022, after which the standard rate </w:t>
      </w:r>
      <w:r w:rsidR="00E17543">
        <w:rPr>
          <w:rFonts w:asciiTheme="minorHAnsi" w:hAnsiTheme="minorHAnsi" w:cstheme="minorHAnsi"/>
          <w:color w:val="333333"/>
        </w:rPr>
        <w:t xml:space="preserve">of 20% </w:t>
      </w:r>
      <w:r w:rsidRPr="008F494C">
        <w:rPr>
          <w:rFonts w:asciiTheme="minorHAnsi" w:hAnsiTheme="minorHAnsi" w:cstheme="minorHAnsi"/>
          <w:color w:val="333333"/>
        </w:rPr>
        <w:t xml:space="preserve">will </w:t>
      </w:r>
      <w:r w:rsidR="00E17543">
        <w:rPr>
          <w:rFonts w:asciiTheme="minorHAnsi" w:hAnsiTheme="minorHAnsi" w:cstheme="minorHAnsi"/>
          <w:color w:val="333333"/>
        </w:rPr>
        <w:t>revert</w:t>
      </w:r>
      <w:r w:rsidRPr="008F494C">
        <w:rPr>
          <w:rFonts w:asciiTheme="minorHAnsi" w:hAnsiTheme="minorHAnsi" w:cstheme="minorHAnsi"/>
          <w:color w:val="333333"/>
        </w:rPr>
        <w:t>. Regulation 55K of the VAT Regulations will be amended to ensure that businesses using the flat-rate scheme will also benefit.</w:t>
      </w:r>
    </w:p>
    <w:p w14:paraId="1FB3A2CF" w14:textId="77777777" w:rsidR="00FB6384" w:rsidRPr="008F494C" w:rsidRDefault="00FB6384" w:rsidP="00FB6384">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New Payment Scheme in respect of deferred VAT</w:t>
      </w:r>
    </w:p>
    <w:p w14:paraId="4979AE8C" w14:textId="2B0C680E" w:rsidR="00FB6384" w:rsidRPr="008F494C"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xml:space="preserve">As a result of the pandemic, businesses </w:t>
      </w:r>
      <w:r w:rsidR="00E17543">
        <w:rPr>
          <w:rFonts w:asciiTheme="minorHAnsi" w:hAnsiTheme="minorHAnsi" w:cstheme="minorHAnsi"/>
          <w:color w:val="333333"/>
        </w:rPr>
        <w:t>have been</w:t>
      </w:r>
      <w:r w:rsidRPr="008F494C">
        <w:rPr>
          <w:rFonts w:asciiTheme="minorHAnsi" w:hAnsiTheme="minorHAnsi" w:cstheme="minorHAnsi"/>
          <w:color w:val="333333"/>
        </w:rPr>
        <w:t xml:space="preserve"> allowed to defer VAT liabilities falling due </w:t>
      </w:r>
      <w:r w:rsidR="00E17543">
        <w:rPr>
          <w:rFonts w:asciiTheme="minorHAnsi" w:hAnsiTheme="minorHAnsi" w:cstheme="minorHAnsi"/>
          <w:color w:val="333333"/>
        </w:rPr>
        <w:t xml:space="preserve">for payment </w:t>
      </w:r>
      <w:r w:rsidRPr="008F494C">
        <w:rPr>
          <w:rFonts w:asciiTheme="minorHAnsi" w:hAnsiTheme="minorHAnsi" w:cstheme="minorHAnsi"/>
          <w:color w:val="333333"/>
        </w:rPr>
        <w:t>between 20 March 2020 and 30 June 2020</w:t>
      </w:r>
      <w:r w:rsidR="00E17543">
        <w:rPr>
          <w:rFonts w:asciiTheme="minorHAnsi" w:hAnsiTheme="minorHAnsi" w:cstheme="minorHAnsi"/>
          <w:color w:val="333333"/>
        </w:rPr>
        <w:t>,</w:t>
      </w:r>
      <w:r w:rsidRPr="008F494C">
        <w:rPr>
          <w:rFonts w:asciiTheme="minorHAnsi" w:hAnsiTheme="minorHAnsi" w:cstheme="minorHAnsi"/>
          <w:color w:val="333333"/>
        </w:rPr>
        <w:t xml:space="preserve"> until 31 March 2021. </w:t>
      </w:r>
      <w:r w:rsidR="005F570F">
        <w:rPr>
          <w:rFonts w:asciiTheme="minorHAnsi" w:hAnsiTheme="minorHAnsi" w:cstheme="minorHAnsi"/>
          <w:color w:val="333333"/>
        </w:rPr>
        <w:t xml:space="preserve">Added to this </w:t>
      </w:r>
      <w:r w:rsidR="0085641C">
        <w:rPr>
          <w:rFonts w:asciiTheme="minorHAnsi" w:hAnsiTheme="minorHAnsi" w:cstheme="minorHAnsi"/>
          <w:color w:val="333333"/>
        </w:rPr>
        <w:t>is</w:t>
      </w:r>
      <w:r w:rsidR="005F570F">
        <w:rPr>
          <w:rFonts w:asciiTheme="minorHAnsi" w:hAnsiTheme="minorHAnsi" w:cstheme="minorHAnsi"/>
          <w:color w:val="333333"/>
        </w:rPr>
        <w:t xml:space="preserve"> a further offer</w:t>
      </w:r>
      <w:r w:rsidRPr="008F494C">
        <w:rPr>
          <w:rFonts w:asciiTheme="minorHAnsi" w:hAnsiTheme="minorHAnsi" w:cstheme="minorHAnsi"/>
          <w:color w:val="333333"/>
        </w:rPr>
        <w:t xml:space="preserve"> </w:t>
      </w:r>
      <w:r w:rsidR="005F570F">
        <w:rPr>
          <w:rFonts w:asciiTheme="minorHAnsi" w:hAnsiTheme="minorHAnsi" w:cstheme="minorHAnsi"/>
          <w:color w:val="333333"/>
        </w:rPr>
        <w:t>allowing businesses</w:t>
      </w:r>
      <w:r w:rsidRPr="008F494C">
        <w:rPr>
          <w:rFonts w:asciiTheme="minorHAnsi" w:hAnsiTheme="minorHAnsi" w:cstheme="minorHAnsi"/>
          <w:color w:val="333333"/>
        </w:rPr>
        <w:t xml:space="preserve"> to pay deferred VAT in up to 11 monthly interest-free instalments</w:t>
      </w:r>
      <w:r w:rsidR="0085641C">
        <w:rPr>
          <w:rFonts w:asciiTheme="minorHAnsi" w:hAnsiTheme="minorHAnsi" w:cstheme="minorHAnsi"/>
          <w:color w:val="333333"/>
        </w:rPr>
        <w:t xml:space="preserve"> but </w:t>
      </w:r>
      <w:r w:rsidRPr="008F494C">
        <w:rPr>
          <w:rFonts w:asciiTheme="minorHAnsi" w:hAnsiTheme="minorHAnsi" w:cstheme="minorHAnsi"/>
          <w:color w:val="333333"/>
        </w:rPr>
        <w:t>by 30 June 2021</w:t>
      </w:r>
      <w:r w:rsidR="0085641C">
        <w:rPr>
          <w:rFonts w:asciiTheme="minorHAnsi" w:hAnsiTheme="minorHAnsi" w:cstheme="minorHAnsi"/>
          <w:color w:val="333333"/>
        </w:rPr>
        <w:t xml:space="preserve"> the business must have</w:t>
      </w:r>
      <w:r w:rsidRPr="008F494C">
        <w:rPr>
          <w:rFonts w:asciiTheme="minorHAnsi" w:hAnsiTheme="minorHAnsi" w:cstheme="minorHAnsi"/>
          <w:color w:val="333333"/>
        </w:rPr>
        <w:t>:</w:t>
      </w:r>
    </w:p>
    <w:p w14:paraId="5C2A1869" w14:textId="05CFC9D8" w:rsidR="00FB6384" w:rsidRPr="008F494C"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paid its liability under the deferral scheme in full</w:t>
      </w:r>
      <w:r w:rsidR="0085641C">
        <w:rPr>
          <w:rFonts w:asciiTheme="minorHAnsi" w:hAnsiTheme="minorHAnsi" w:cstheme="minorHAnsi"/>
          <w:color w:val="333333"/>
        </w:rPr>
        <w:t>;</w:t>
      </w:r>
    </w:p>
    <w:p w14:paraId="55F74F08" w14:textId="77EF788D" w:rsidR="00FB6384" w:rsidRPr="008F494C"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opted into the New Payment Scheme</w:t>
      </w:r>
      <w:r w:rsidR="0085641C">
        <w:rPr>
          <w:rFonts w:asciiTheme="minorHAnsi" w:hAnsiTheme="minorHAnsi" w:cstheme="minorHAnsi"/>
          <w:color w:val="333333"/>
        </w:rPr>
        <w:t>;</w:t>
      </w:r>
      <w:r w:rsidRPr="008F494C">
        <w:rPr>
          <w:rFonts w:asciiTheme="minorHAnsi" w:hAnsiTheme="minorHAnsi" w:cstheme="minorHAnsi"/>
          <w:color w:val="333333"/>
        </w:rPr>
        <w:t xml:space="preserve"> or</w:t>
      </w:r>
    </w:p>
    <w:p w14:paraId="0B9FCC69" w14:textId="38F0AEF0" w:rsidR="00FB6384" w:rsidRPr="008F494C" w:rsidRDefault="00FB6384"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sidRPr="008F494C">
        <w:rPr>
          <w:rFonts w:asciiTheme="minorHAnsi" w:hAnsiTheme="minorHAnsi" w:cstheme="minorHAnsi"/>
          <w:color w:val="333333"/>
        </w:rPr>
        <w:t>• made alternative arrangements to pay by 30 June 2021</w:t>
      </w:r>
      <w:r w:rsidR="0085641C">
        <w:rPr>
          <w:rFonts w:asciiTheme="minorHAnsi" w:hAnsiTheme="minorHAnsi" w:cstheme="minorHAnsi"/>
          <w:color w:val="333333"/>
        </w:rPr>
        <w:t>.</w:t>
      </w:r>
    </w:p>
    <w:p w14:paraId="0C719E35" w14:textId="14AEBE29" w:rsidR="00FB6384" w:rsidRPr="008F494C" w:rsidRDefault="0085641C"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A</w:t>
      </w:r>
      <w:r w:rsidRPr="008F494C">
        <w:rPr>
          <w:rFonts w:asciiTheme="minorHAnsi" w:hAnsiTheme="minorHAnsi" w:cstheme="minorHAnsi"/>
          <w:color w:val="333333"/>
        </w:rPr>
        <w:t xml:space="preserve"> penalty of 5% of the outstanding VAT </w:t>
      </w:r>
      <w:r>
        <w:rPr>
          <w:rFonts w:asciiTheme="minorHAnsi" w:hAnsiTheme="minorHAnsi" w:cstheme="minorHAnsi"/>
          <w:color w:val="333333"/>
        </w:rPr>
        <w:t xml:space="preserve">will be applied </w:t>
      </w:r>
      <w:r w:rsidRPr="008F494C">
        <w:rPr>
          <w:rFonts w:asciiTheme="minorHAnsi" w:hAnsiTheme="minorHAnsi" w:cstheme="minorHAnsi"/>
          <w:color w:val="333333"/>
        </w:rPr>
        <w:t xml:space="preserve">if a business has </w:t>
      </w:r>
      <w:r>
        <w:rPr>
          <w:rFonts w:asciiTheme="minorHAnsi" w:hAnsiTheme="minorHAnsi" w:cstheme="minorHAnsi"/>
          <w:color w:val="333333"/>
        </w:rPr>
        <w:t>taken no action.</w:t>
      </w:r>
      <w:r w:rsidRPr="008F494C">
        <w:rPr>
          <w:rFonts w:asciiTheme="minorHAnsi" w:hAnsiTheme="minorHAnsi" w:cstheme="minorHAnsi"/>
          <w:color w:val="333333"/>
        </w:rPr>
        <w:t xml:space="preserve"> </w:t>
      </w:r>
      <w:r w:rsidR="00FB6384" w:rsidRPr="008F494C">
        <w:rPr>
          <w:rFonts w:asciiTheme="minorHAnsi" w:hAnsiTheme="minorHAnsi" w:cstheme="minorHAnsi"/>
          <w:color w:val="333333"/>
        </w:rPr>
        <w:t>The application of the penalty will be at the discretion of HMRC</w:t>
      </w:r>
      <w:r>
        <w:rPr>
          <w:rFonts w:asciiTheme="minorHAnsi" w:hAnsiTheme="minorHAnsi" w:cstheme="minorHAnsi"/>
          <w:color w:val="333333"/>
        </w:rPr>
        <w:t xml:space="preserve"> and is</w:t>
      </w:r>
      <w:r w:rsidR="00FB6384" w:rsidRPr="008F494C">
        <w:rPr>
          <w:rFonts w:asciiTheme="minorHAnsi" w:hAnsiTheme="minorHAnsi" w:cstheme="minorHAnsi"/>
          <w:color w:val="333333"/>
        </w:rPr>
        <w:t xml:space="preserve"> instead of the normal Default Surcharge regime.</w:t>
      </w:r>
    </w:p>
    <w:p w14:paraId="0F67C7E4" w14:textId="77777777" w:rsidR="00FB6384" w:rsidRPr="008F494C" w:rsidRDefault="00FB6384" w:rsidP="00FB6384">
      <w:pPr>
        <w:pStyle w:val="loose"/>
        <w:shd w:val="clear" w:color="auto" w:fill="FFFFFF"/>
        <w:spacing w:before="0" w:beforeAutospacing="0" w:after="0" w:afterAutospacing="0" w:line="322" w:lineRule="atLeast"/>
        <w:textAlignment w:val="baseline"/>
        <w:rPr>
          <w:rFonts w:asciiTheme="minorHAnsi" w:hAnsiTheme="minorHAnsi" w:cstheme="minorHAnsi"/>
          <w:color w:val="333333"/>
        </w:rPr>
      </w:pPr>
      <w:r w:rsidRPr="008F494C">
        <w:rPr>
          <w:rStyle w:val="bold"/>
          <w:rFonts w:asciiTheme="minorHAnsi" w:hAnsiTheme="minorHAnsi" w:cstheme="minorHAnsi"/>
          <w:b/>
          <w:bCs/>
          <w:color w:val="444444"/>
          <w:bdr w:val="none" w:sz="0" w:space="0" w:color="auto" w:frame="1"/>
        </w:rPr>
        <w:t>Late filing and payment penalties and interest harmonisation</w:t>
      </w:r>
    </w:p>
    <w:p w14:paraId="1B6C35E5" w14:textId="3DCF87A8" w:rsidR="00FB6384" w:rsidRPr="008F494C" w:rsidRDefault="0085641C" w:rsidP="00FB6384">
      <w:pPr>
        <w:pStyle w:val="loose"/>
        <w:shd w:val="clear" w:color="auto" w:fill="FFFFFF"/>
        <w:spacing w:before="0" w:beforeAutospacing="0" w:after="240" w:afterAutospacing="0" w:line="322" w:lineRule="atLeast"/>
        <w:textAlignment w:val="baseline"/>
        <w:rPr>
          <w:rFonts w:asciiTheme="minorHAnsi" w:hAnsiTheme="minorHAnsi" w:cstheme="minorHAnsi"/>
          <w:color w:val="333333"/>
        </w:rPr>
      </w:pPr>
      <w:r>
        <w:rPr>
          <w:rFonts w:asciiTheme="minorHAnsi" w:hAnsiTheme="minorHAnsi" w:cstheme="minorHAnsi"/>
          <w:color w:val="333333"/>
        </w:rPr>
        <w:t>The</w:t>
      </w:r>
      <w:r w:rsidR="00FB6384" w:rsidRPr="008F494C">
        <w:rPr>
          <w:rFonts w:asciiTheme="minorHAnsi" w:hAnsiTheme="minorHAnsi" w:cstheme="minorHAnsi"/>
          <w:color w:val="333333"/>
        </w:rPr>
        <w:t xml:space="preserve"> new regime to be introduced for late filing and late payment penalties </w:t>
      </w:r>
      <w:r>
        <w:rPr>
          <w:rFonts w:asciiTheme="minorHAnsi" w:hAnsiTheme="minorHAnsi" w:cstheme="minorHAnsi"/>
          <w:color w:val="333333"/>
        </w:rPr>
        <w:t xml:space="preserve">as explained above, will also apply </w:t>
      </w:r>
      <w:r w:rsidR="00FB6384" w:rsidRPr="008F494C">
        <w:rPr>
          <w:rFonts w:asciiTheme="minorHAnsi" w:hAnsiTheme="minorHAnsi" w:cstheme="minorHAnsi"/>
          <w:color w:val="333333"/>
        </w:rPr>
        <w:t>for VAT</w:t>
      </w:r>
      <w:r w:rsidR="005F570F">
        <w:rPr>
          <w:rFonts w:asciiTheme="minorHAnsi" w:hAnsiTheme="minorHAnsi" w:cstheme="minorHAnsi"/>
          <w:color w:val="333333"/>
        </w:rPr>
        <w:t xml:space="preserve"> </w:t>
      </w:r>
      <w:r>
        <w:rPr>
          <w:rFonts w:asciiTheme="minorHAnsi" w:hAnsiTheme="minorHAnsi" w:cstheme="minorHAnsi"/>
          <w:color w:val="333333"/>
        </w:rPr>
        <w:t>on</w:t>
      </w:r>
      <w:r w:rsidR="005F570F">
        <w:rPr>
          <w:rFonts w:asciiTheme="minorHAnsi" w:hAnsiTheme="minorHAnsi" w:cstheme="minorHAnsi"/>
          <w:color w:val="333333"/>
        </w:rPr>
        <w:t xml:space="preserve"> </w:t>
      </w:r>
      <w:r w:rsidR="00FB6384" w:rsidRPr="008F494C">
        <w:rPr>
          <w:rFonts w:asciiTheme="minorHAnsi" w:hAnsiTheme="minorHAnsi" w:cstheme="minorHAnsi"/>
          <w:color w:val="333333"/>
        </w:rPr>
        <w:t xml:space="preserve">accounting periods beginning on or after 1 April 2022. </w:t>
      </w:r>
    </w:p>
    <w:p w14:paraId="61D834E3" w14:textId="77777777" w:rsidR="00FB6384" w:rsidRPr="0085641C" w:rsidRDefault="00FB6384" w:rsidP="00FB6384">
      <w:pPr>
        <w:pStyle w:val="loose"/>
        <w:shd w:val="clear" w:color="auto" w:fill="FFFFFF"/>
        <w:spacing w:before="0" w:beforeAutospacing="0" w:after="0" w:afterAutospacing="0" w:line="322" w:lineRule="atLeast"/>
        <w:textAlignment w:val="baseline"/>
        <w:rPr>
          <w:rFonts w:asciiTheme="minorHAnsi" w:hAnsiTheme="minorHAnsi" w:cstheme="minorHAnsi"/>
          <w:b/>
          <w:bCs/>
          <w:color w:val="333333"/>
        </w:rPr>
      </w:pPr>
      <w:r w:rsidRPr="0085641C">
        <w:rPr>
          <w:rStyle w:val="italic"/>
          <w:rFonts w:asciiTheme="minorHAnsi" w:hAnsiTheme="minorHAnsi" w:cstheme="minorHAnsi"/>
          <w:b/>
          <w:bCs/>
          <w:color w:val="333333"/>
          <w:bdr w:val="none" w:sz="0" w:space="0" w:color="auto" w:frame="1"/>
        </w:rPr>
        <w:t>Interest harmonisation</w:t>
      </w:r>
    </w:p>
    <w:p w14:paraId="625D3A33" w14:textId="3B61409E" w:rsidR="00344233" w:rsidRPr="008F494C" w:rsidRDefault="00FB6384" w:rsidP="00681BB0">
      <w:pPr>
        <w:pStyle w:val="loose"/>
        <w:shd w:val="clear" w:color="auto" w:fill="FFFFFF"/>
        <w:spacing w:before="0" w:beforeAutospacing="0" w:after="240" w:afterAutospacing="0" w:line="322" w:lineRule="atLeast"/>
        <w:textAlignment w:val="baseline"/>
        <w:rPr>
          <w:rFonts w:cstheme="minorHAnsi"/>
        </w:rPr>
      </w:pPr>
      <w:r w:rsidRPr="008F494C">
        <w:rPr>
          <w:rFonts w:asciiTheme="minorHAnsi" w:hAnsiTheme="minorHAnsi" w:cstheme="minorHAnsi"/>
          <w:color w:val="333333"/>
        </w:rPr>
        <w:t>The VAT late payment interest rules will change</w:t>
      </w:r>
      <w:r w:rsidR="0085641C">
        <w:rPr>
          <w:rFonts w:asciiTheme="minorHAnsi" w:hAnsiTheme="minorHAnsi" w:cstheme="minorHAnsi"/>
          <w:color w:val="333333"/>
        </w:rPr>
        <w:t xml:space="preserve"> so that wh</w:t>
      </w:r>
      <w:r w:rsidRPr="008F494C">
        <w:rPr>
          <w:rFonts w:asciiTheme="minorHAnsi" w:hAnsiTheme="minorHAnsi" w:cstheme="minorHAnsi"/>
          <w:color w:val="333333"/>
        </w:rPr>
        <w:t>en an amount is not paid by the due date, late payment interest will be charged from the due date to the date the payment is received. Late payment interest will apply in relation to VAT returns, VAT amendments and assessments and payments on account. HMRC will normally pay repayment interest either from the last day the payment was due to be received or the day it was received, whichever is later, until the date the repayment to the taxpayer is authorised or offset.</w:t>
      </w:r>
    </w:p>
    <w:sectPr w:rsidR="00344233" w:rsidRPr="008F49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91BCF"/>
    <w:multiLevelType w:val="hybridMultilevel"/>
    <w:tmpl w:val="05329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0298A"/>
    <w:multiLevelType w:val="hybridMultilevel"/>
    <w:tmpl w:val="636E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76C8E"/>
    <w:multiLevelType w:val="hybridMultilevel"/>
    <w:tmpl w:val="CAAC9E3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3E836970"/>
    <w:multiLevelType w:val="hybridMultilevel"/>
    <w:tmpl w:val="59E03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425C1B"/>
    <w:multiLevelType w:val="hybridMultilevel"/>
    <w:tmpl w:val="603A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8D7B9F"/>
    <w:multiLevelType w:val="hybridMultilevel"/>
    <w:tmpl w:val="8A6E1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3625716">
    <w:abstractNumId w:val="2"/>
  </w:num>
  <w:num w:numId="2" w16cid:durableId="725834593">
    <w:abstractNumId w:val="3"/>
  </w:num>
  <w:num w:numId="3" w16cid:durableId="430244692">
    <w:abstractNumId w:val="4"/>
  </w:num>
  <w:num w:numId="4" w16cid:durableId="495072868">
    <w:abstractNumId w:val="0"/>
  </w:num>
  <w:num w:numId="5" w16cid:durableId="645089211">
    <w:abstractNumId w:val="5"/>
  </w:num>
  <w:num w:numId="6" w16cid:durableId="822310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76BC"/>
    <w:rsid w:val="0000270F"/>
    <w:rsid w:val="00021459"/>
    <w:rsid w:val="00057FAC"/>
    <w:rsid w:val="00075E29"/>
    <w:rsid w:val="00087E19"/>
    <w:rsid w:val="00096D46"/>
    <w:rsid w:val="002A593F"/>
    <w:rsid w:val="00344233"/>
    <w:rsid w:val="003513D0"/>
    <w:rsid w:val="0045716C"/>
    <w:rsid w:val="004B1194"/>
    <w:rsid w:val="004C2685"/>
    <w:rsid w:val="004C7D59"/>
    <w:rsid w:val="004D572E"/>
    <w:rsid w:val="004F3C8B"/>
    <w:rsid w:val="005F3C95"/>
    <w:rsid w:val="005F570F"/>
    <w:rsid w:val="00614BE5"/>
    <w:rsid w:val="00652D86"/>
    <w:rsid w:val="00681BB0"/>
    <w:rsid w:val="0085641C"/>
    <w:rsid w:val="00867FD5"/>
    <w:rsid w:val="008C0AE1"/>
    <w:rsid w:val="008F494C"/>
    <w:rsid w:val="00915579"/>
    <w:rsid w:val="00A634BF"/>
    <w:rsid w:val="00B40CFA"/>
    <w:rsid w:val="00D37B41"/>
    <w:rsid w:val="00D477FD"/>
    <w:rsid w:val="00D85AED"/>
    <w:rsid w:val="00D92CD6"/>
    <w:rsid w:val="00DA76BC"/>
    <w:rsid w:val="00E17543"/>
    <w:rsid w:val="00E57CEC"/>
    <w:rsid w:val="00E85FA9"/>
    <w:rsid w:val="00FB6384"/>
    <w:rsid w:val="00FF32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1EFBA0"/>
  <w15:chartTrackingRefBased/>
  <w15:docId w15:val="{F4DCFB70-31D3-48B9-B7DC-C57B87886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talic">
    <w:name w:val="italic"/>
    <w:basedOn w:val="DefaultParagraphFont"/>
    <w:rsid w:val="00344233"/>
  </w:style>
  <w:style w:type="paragraph" w:customStyle="1" w:styleId="loose">
    <w:name w:val="loose"/>
    <w:basedOn w:val="Normal"/>
    <w:rsid w:val="003442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bold">
    <w:name w:val="bold"/>
    <w:basedOn w:val="DefaultParagraphFont"/>
    <w:rsid w:val="00344233"/>
  </w:style>
  <w:style w:type="character" w:customStyle="1" w:styleId="externallinkfullstory">
    <w:name w:val="externallink_fullstory"/>
    <w:basedOn w:val="DefaultParagraphFont"/>
    <w:rsid w:val="00344233"/>
  </w:style>
  <w:style w:type="character" w:styleId="Hyperlink">
    <w:name w:val="Hyperlink"/>
    <w:basedOn w:val="DefaultParagraphFont"/>
    <w:uiPriority w:val="99"/>
    <w:unhideWhenUsed/>
    <w:rsid w:val="00344233"/>
    <w:rPr>
      <w:color w:val="0000FF"/>
      <w:u w:val="single"/>
    </w:rPr>
  </w:style>
  <w:style w:type="character" w:customStyle="1" w:styleId="remotelinkfullstory">
    <w:name w:val="remotelink_fullstory&quot;"/>
    <w:basedOn w:val="DefaultParagraphFont"/>
    <w:rsid w:val="00344233"/>
  </w:style>
  <w:style w:type="character" w:styleId="UnresolvedMention">
    <w:name w:val="Unresolved Mention"/>
    <w:basedOn w:val="DefaultParagraphFont"/>
    <w:uiPriority w:val="99"/>
    <w:semiHidden/>
    <w:unhideWhenUsed/>
    <w:rsid w:val="004C7D59"/>
    <w:rPr>
      <w:color w:val="605E5C"/>
      <w:shd w:val="clear" w:color="auto" w:fill="E1DFDD"/>
    </w:rPr>
  </w:style>
  <w:style w:type="table" w:styleId="TableGrid">
    <w:name w:val="Table Grid"/>
    <w:basedOn w:val="TableNormal"/>
    <w:uiPriority w:val="39"/>
    <w:rsid w:val="0086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81BB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960021">
      <w:bodyDiv w:val="1"/>
      <w:marLeft w:val="0"/>
      <w:marRight w:val="0"/>
      <w:marTop w:val="0"/>
      <w:marBottom w:val="0"/>
      <w:divBdr>
        <w:top w:val="none" w:sz="0" w:space="0" w:color="auto"/>
        <w:left w:val="none" w:sz="0" w:space="0" w:color="auto"/>
        <w:bottom w:val="none" w:sz="0" w:space="0" w:color="auto"/>
        <w:right w:val="none" w:sz="0" w:space="0" w:color="auto"/>
      </w:divBdr>
    </w:div>
    <w:div w:id="418599678">
      <w:bodyDiv w:val="1"/>
      <w:marLeft w:val="0"/>
      <w:marRight w:val="0"/>
      <w:marTop w:val="0"/>
      <w:marBottom w:val="0"/>
      <w:divBdr>
        <w:top w:val="none" w:sz="0" w:space="0" w:color="auto"/>
        <w:left w:val="none" w:sz="0" w:space="0" w:color="auto"/>
        <w:bottom w:val="none" w:sz="0" w:space="0" w:color="auto"/>
        <w:right w:val="none" w:sz="0" w:space="0" w:color="auto"/>
      </w:divBdr>
    </w:div>
    <w:div w:id="499585217">
      <w:bodyDiv w:val="1"/>
      <w:marLeft w:val="0"/>
      <w:marRight w:val="0"/>
      <w:marTop w:val="0"/>
      <w:marBottom w:val="0"/>
      <w:divBdr>
        <w:top w:val="none" w:sz="0" w:space="0" w:color="auto"/>
        <w:left w:val="none" w:sz="0" w:space="0" w:color="auto"/>
        <w:bottom w:val="none" w:sz="0" w:space="0" w:color="auto"/>
        <w:right w:val="none" w:sz="0" w:space="0" w:color="auto"/>
      </w:divBdr>
    </w:div>
    <w:div w:id="1637876642">
      <w:bodyDiv w:val="1"/>
      <w:marLeft w:val="0"/>
      <w:marRight w:val="0"/>
      <w:marTop w:val="0"/>
      <w:marBottom w:val="0"/>
      <w:divBdr>
        <w:top w:val="none" w:sz="0" w:space="0" w:color="auto"/>
        <w:left w:val="none" w:sz="0" w:space="0" w:color="auto"/>
        <w:bottom w:val="none" w:sz="0" w:space="0" w:color="auto"/>
        <w:right w:val="none" w:sz="0" w:space="0" w:color="auto"/>
      </w:divBdr>
    </w:div>
    <w:div w:id="1738899448">
      <w:bodyDiv w:val="1"/>
      <w:marLeft w:val="0"/>
      <w:marRight w:val="0"/>
      <w:marTop w:val="0"/>
      <w:marBottom w:val="0"/>
      <w:divBdr>
        <w:top w:val="none" w:sz="0" w:space="0" w:color="auto"/>
        <w:left w:val="none" w:sz="0" w:space="0" w:color="auto"/>
        <w:bottom w:val="none" w:sz="0" w:space="0" w:color="auto"/>
        <w:right w:val="none" w:sz="0" w:space="0" w:color="auto"/>
      </w:divBdr>
    </w:div>
    <w:div w:id="2039425596">
      <w:bodyDiv w:val="1"/>
      <w:marLeft w:val="0"/>
      <w:marRight w:val="0"/>
      <w:marTop w:val="0"/>
      <w:marBottom w:val="0"/>
      <w:divBdr>
        <w:top w:val="none" w:sz="0" w:space="0" w:color="auto"/>
        <w:left w:val="none" w:sz="0" w:space="0" w:color="auto"/>
        <w:bottom w:val="none" w:sz="0" w:space="0" w:color="auto"/>
        <w:right w:val="none" w:sz="0" w:space="0" w:color="auto"/>
      </w:divBdr>
    </w:div>
    <w:div w:id="2095542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www.stanbridgeaccountants.co.uk/post/cgt-on-property"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v.scot/publications/scottish-budget-2021-22/pages/1/" TargetMode="External"/><Relationship Id="rId11" Type="http://schemas.openxmlformats.org/officeDocument/2006/relationships/hyperlink" Target="https://www.stanbridgeaccountants.co.uk/post/sunak-s-speech-to-the-house-november-2020"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www.stanbridgeaccountants.co.uk/post/pensions-update-2021"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2946</Words>
  <Characters>16793</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Sanders</dc:creator>
  <cp:keywords/>
  <dc:description/>
  <cp:lastModifiedBy>Ben Turney</cp:lastModifiedBy>
  <cp:revision>2</cp:revision>
  <dcterms:created xsi:type="dcterms:W3CDTF">2022-09-04T17:45:00Z</dcterms:created>
  <dcterms:modified xsi:type="dcterms:W3CDTF">2022-09-04T17:45:00Z</dcterms:modified>
</cp:coreProperties>
</file>